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911" w:type="dxa"/>
        <w:jc w:val="center"/>
        <w:tblCellSpacing w:w="0" w:type="dxa"/>
        <w:shd w:val="clear" w:color="auto" w:fill="FFFFFF"/>
        <w:tblCellMar>
          <w:left w:w="0" w:type="dxa"/>
          <w:right w:w="0" w:type="dxa"/>
        </w:tblCellMar>
        <w:tblLook w:val="04A0" w:firstRow="1" w:lastRow="0" w:firstColumn="1" w:lastColumn="0" w:noHBand="0" w:noVBand="1"/>
      </w:tblPr>
      <w:tblGrid>
        <w:gridCol w:w="12911"/>
      </w:tblGrid>
      <w:tr w:rsidR="00DB3CA0" w:rsidTr="00537A68">
        <w:trPr>
          <w:tblCellSpacing w:w="0" w:type="dxa"/>
          <w:jc w:val="center"/>
        </w:trPr>
        <w:tc>
          <w:tcPr>
            <w:tcW w:w="0" w:type="auto"/>
            <w:shd w:val="clear" w:color="auto" w:fill="FFFFFF"/>
            <w:tcMar>
              <w:top w:w="0" w:type="dxa"/>
              <w:left w:w="300" w:type="dxa"/>
              <w:bottom w:w="0" w:type="dxa"/>
              <w:right w:w="300" w:type="dxa"/>
            </w:tcMar>
            <w:vAlign w:val="center"/>
            <w:hideMark/>
          </w:tcPr>
          <w:tbl>
            <w:tblPr>
              <w:tblW w:w="11895" w:type="dxa"/>
              <w:jc w:val="center"/>
              <w:tblCellSpacing w:w="0" w:type="dxa"/>
              <w:tblCellMar>
                <w:left w:w="0" w:type="dxa"/>
                <w:right w:w="0" w:type="dxa"/>
              </w:tblCellMar>
              <w:tblLook w:val="04A0" w:firstRow="1" w:lastRow="0" w:firstColumn="1" w:lastColumn="0" w:noHBand="0" w:noVBand="1"/>
            </w:tblPr>
            <w:tblGrid>
              <w:gridCol w:w="10853"/>
              <w:gridCol w:w="1047"/>
            </w:tblGrid>
            <w:tr w:rsidR="00DB3CA0">
              <w:trPr>
                <w:tblCellSpacing w:w="0" w:type="dxa"/>
                <w:jc w:val="center"/>
              </w:trPr>
              <w:tc>
                <w:tcPr>
                  <w:tcW w:w="0" w:type="auto"/>
                  <w:gridSpan w:val="2"/>
                  <w:tcMar>
                    <w:top w:w="300" w:type="dxa"/>
                    <w:left w:w="300" w:type="dxa"/>
                    <w:bottom w:w="300" w:type="dxa"/>
                    <w:right w:w="300" w:type="dxa"/>
                  </w:tcMar>
                  <w:vAlign w:val="center"/>
                  <w:hideMark/>
                </w:tcPr>
                <w:p w:rsidR="00DB3CA0" w:rsidRDefault="00DB3CA0">
                  <w:pPr>
                    <w:spacing w:line="255" w:lineRule="atLeast"/>
                    <w:rPr>
                      <w:lang w:val="en-GB"/>
                    </w:rPr>
                  </w:pPr>
                  <w:r>
                    <w:rPr>
                      <w:b/>
                      <w:bCs/>
                      <w:noProof/>
                      <w:color w:val="000000"/>
                      <w:sz w:val="21"/>
                      <w:szCs w:val="21"/>
                    </w:rPr>
                    <w:drawing>
                      <wp:inline distT="0" distB="0" distL="0" distR="0" wp14:anchorId="091E9BA1" wp14:editId="76453060">
                        <wp:extent cx="1428750" cy="285750"/>
                        <wp:effectExtent l="0" t="0" r="0" b="0"/>
                        <wp:docPr id="14" name="Picture 14" descr="cid:image001.jpg@01D051DC.2BA3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1.jpg@01D051DC.2BA3BB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28750" cy="285750"/>
                                </a:xfrm>
                                <a:prstGeom prst="rect">
                                  <a:avLst/>
                                </a:prstGeom>
                                <a:noFill/>
                                <a:ln>
                                  <a:noFill/>
                                </a:ln>
                              </pic:spPr>
                            </pic:pic>
                          </a:graphicData>
                        </a:graphic>
                      </wp:inline>
                    </w:drawing>
                  </w:r>
                </w:p>
                <w:p w:rsidR="00DB3CA0" w:rsidRDefault="00DB3CA0">
                  <w:pPr>
                    <w:spacing w:line="540" w:lineRule="atLeast"/>
                    <w:rPr>
                      <w:lang w:val="en-GB"/>
                    </w:rPr>
                  </w:pPr>
                  <w:r>
                    <w:rPr>
                      <w:b/>
                      <w:bCs/>
                      <w:color w:val="000000"/>
                      <w:sz w:val="36"/>
                      <w:szCs w:val="36"/>
                      <w:lang w:val="en-GB"/>
                    </w:rPr>
                    <w:t>Customs News Bulletin</w:t>
                  </w:r>
                </w:p>
              </w:tc>
            </w:tr>
            <w:tr w:rsidR="00DB3CA0">
              <w:trPr>
                <w:tblCellSpacing w:w="0" w:type="dxa"/>
                <w:jc w:val="center"/>
              </w:trPr>
              <w:tc>
                <w:tcPr>
                  <w:tcW w:w="0" w:type="auto"/>
                  <w:gridSpan w:val="2"/>
                  <w:hideMark/>
                </w:tcPr>
                <w:tbl>
                  <w:tblPr>
                    <w:tblW w:w="11878" w:type="dxa"/>
                    <w:jc w:val="center"/>
                    <w:tblCellSpacing w:w="0" w:type="dxa"/>
                    <w:tblCellMar>
                      <w:left w:w="0" w:type="dxa"/>
                      <w:right w:w="0" w:type="dxa"/>
                    </w:tblCellMar>
                    <w:tblLook w:val="04A0" w:firstRow="1" w:lastRow="0" w:firstColumn="1" w:lastColumn="0" w:noHBand="0" w:noVBand="1"/>
                  </w:tblPr>
                  <w:tblGrid>
                    <w:gridCol w:w="11878"/>
                  </w:tblGrid>
                  <w:tr w:rsidR="00DB3CA0">
                    <w:trPr>
                      <w:tblCellSpacing w:w="0" w:type="dxa"/>
                      <w:jc w:val="center"/>
                    </w:trPr>
                    <w:tc>
                      <w:tcPr>
                        <w:tcW w:w="0" w:type="auto"/>
                        <w:hideMark/>
                      </w:tcPr>
                      <w:tbl>
                        <w:tblPr>
                          <w:tblW w:w="11589" w:type="dxa"/>
                          <w:jc w:val="center"/>
                          <w:tblCellSpacing w:w="0" w:type="dxa"/>
                          <w:tblCellMar>
                            <w:left w:w="0" w:type="dxa"/>
                            <w:right w:w="0" w:type="dxa"/>
                          </w:tblCellMar>
                          <w:tblLook w:val="04A0" w:firstRow="1" w:lastRow="0" w:firstColumn="1" w:lastColumn="0" w:noHBand="0" w:noVBand="1"/>
                        </w:tblPr>
                        <w:tblGrid>
                          <w:gridCol w:w="11589"/>
                        </w:tblGrid>
                        <w:tr w:rsidR="00DB3CA0">
                          <w:trPr>
                            <w:tblCellSpacing w:w="0" w:type="dxa"/>
                            <w:jc w:val="center"/>
                          </w:trPr>
                          <w:tc>
                            <w:tcPr>
                              <w:tcW w:w="0" w:type="auto"/>
                              <w:vAlign w:val="center"/>
                              <w:hideMark/>
                            </w:tcPr>
                            <w:tbl>
                              <w:tblPr>
                                <w:tblW w:w="10795" w:type="dxa"/>
                                <w:tblCellSpacing w:w="0" w:type="dxa"/>
                                <w:tblCellMar>
                                  <w:left w:w="0" w:type="dxa"/>
                                  <w:right w:w="0" w:type="dxa"/>
                                </w:tblCellMar>
                                <w:tblLook w:val="04A0" w:firstRow="1" w:lastRow="0" w:firstColumn="1" w:lastColumn="0" w:noHBand="0" w:noVBand="1"/>
                              </w:tblPr>
                              <w:tblGrid>
                                <w:gridCol w:w="5190"/>
                                <w:gridCol w:w="20"/>
                                <w:gridCol w:w="5585"/>
                              </w:tblGrid>
                              <w:tr w:rsidR="00DB3CA0">
                                <w:trPr>
                                  <w:trHeight w:val="2895"/>
                                  <w:tblCellSpacing w:w="0" w:type="dxa"/>
                                </w:trPr>
                                <w:tc>
                                  <w:tcPr>
                                    <w:tcW w:w="5190" w:type="dxa"/>
                                    <w:vAlign w:val="center"/>
                                    <w:hideMark/>
                                  </w:tcPr>
                                  <w:p w:rsidR="00DB3CA0" w:rsidRDefault="00DB3CA0">
                                    <w:pPr>
                                      <w:spacing w:after="200" w:line="255" w:lineRule="atLeast"/>
                                      <w:jc w:val="right"/>
                                      <w:rPr>
                                        <w:lang w:val="en-GB"/>
                                      </w:rPr>
                                    </w:pPr>
                                    <w:r>
                                      <w:rPr>
                                        <w:b/>
                                        <w:bCs/>
                                        <w:noProof/>
                                        <w:sz w:val="20"/>
                                        <w:szCs w:val="20"/>
                                      </w:rPr>
                                      <w:drawing>
                                        <wp:inline distT="0" distB="0" distL="0" distR="0" wp14:anchorId="575DB840" wp14:editId="41726650">
                                          <wp:extent cx="3238500" cy="1562100"/>
                                          <wp:effectExtent l="0" t="0" r="0" b="0"/>
                                          <wp:docPr id="13" name="Picture 13" descr="cid:image002.jpg@01D051DC.2BA3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2.jpg@01D051DC.2BA3BB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38500" cy="1562100"/>
                                                  </a:xfrm>
                                                  <a:prstGeom prst="rect">
                                                    <a:avLst/>
                                                  </a:prstGeom>
                                                  <a:noFill/>
                                                  <a:ln>
                                                    <a:noFill/>
                                                  </a:ln>
                                                </pic:spPr>
                                              </pic:pic>
                                            </a:graphicData>
                                          </a:graphic>
                                        </wp:inline>
                                      </w:drawing>
                                    </w:r>
                                    <w:r>
                                      <w:rPr>
                                        <w:b/>
                                        <w:bCs/>
                                        <w:noProof/>
                                        <w:sz w:val="20"/>
                                        <w:szCs w:val="20"/>
                                      </w:rPr>
                                      <w:drawing>
                                        <wp:inline distT="0" distB="0" distL="0" distR="0" wp14:anchorId="5CCBD697" wp14:editId="12F43C4B">
                                          <wp:extent cx="3238500" cy="76200"/>
                                          <wp:effectExtent l="0" t="0" r="0" b="0"/>
                                          <wp:docPr id="12" name="Picture 12" descr="cid:image003.jpg@01D051DC.2BA3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3.jpg@01D051DC.2BA3BB7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238500" cy="76200"/>
                                                  </a:xfrm>
                                                  <a:prstGeom prst="rect">
                                                    <a:avLst/>
                                                  </a:prstGeom>
                                                  <a:noFill/>
                                                  <a:ln>
                                                    <a:noFill/>
                                                  </a:ln>
                                                </pic:spPr>
                                              </pic:pic>
                                            </a:graphicData>
                                          </a:graphic>
                                        </wp:inline>
                                      </w:drawing>
                                    </w:r>
                                    <w:r>
                                      <w:rPr>
                                        <w:b/>
                                        <w:bCs/>
                                        <w:noProof/>
                                        <w:sz w:val="20"/>
                                        <w:szCs w:val="20"/>
                                      </w:rPr>
                                      <w:drawing>
                                        <wp:inline distT="0" distB="0" distL="0" distR="0" wp14:anchorId="3EB9D021" wp14:editId="79725561">
                                          <wp:extent cx="3238500" cy="762000"/>
                                          <wp:effectExtent l="0" t="0" r="0" b="0"/>
                                          <wp:docPr id="11" name="Picture 11" descr="cid:image004.jpg@01D051DC.2BA3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id:image004.jpg@01D051DC.2BA3BB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238500" cy="762000"/>
                                                  </a:xfrm>
                                                  <a:prstGeom prst="rect">
                                                    <a:avLst/>
                                                  </a:prstGeom>
                                                  <a:noFill/>
                                                  <a:ln>
                                                    <a:noFill/>
                                                  </a:ln>
                                                </pic:spPr>
                                              </pic:pic>
                                            </a:graphicData>
                                          </a:graphic>
                                        </wp:inline>
                                      </w:drawing>
                                    </w:r>
                                  </w:p>
                                </w:tc>
                                <w:tc>
                                  <w:tcPr>
                                    <w:tcW w:w="20" w:type="dxa"/>
                                    <w:vAlign w:val="center"/>
                                    <w:hideMark/>
                                  </w:tcPr>
                                  <w:p w:rsidR="00DB3CA0" w:rsidRDefault="00DB3CA0">
                                    <w:pPr>
                                      <w:rPr>
                                        <w:lang w:val="en-GB"/>
                                      </w:rPr>
                                    </w:pPr>
                                  </w:p>
                                </w:tc>
                                <w:tc>
                                  <w:tcPr>
                                    <w:tcW w:w="5585" w:type="dxa"/>
                                    <w:vAlign w:val="center"/>
                                    <w:hideMark/>
                                  </w:tcPr>
                                  <w:p w:rsidR="00DB3CA0" w:rsidRDefault="00DB3CA0">
                                    <w:pPr>
                                      <w:spacing w:line="255" w:lineRule="atLeast"/>
                                      <w:jc w:val="center"/>
                                      <w:rPr>
                                        <w:lang w:val="en-GB"/>
                                      </w:rPr>
                                    </w:pPr>
                                    <w:r>
                                      <w:rPr>
                                        <w:b/>
                                        <w:bCs/>
                                        <w:noProof/>
                                        <w:sz w:val="20"/>
                                        <w:szCs w:val="20"/>
                                      </w:rPr>
                                      <w:drawing>
                                        <wp:inline distT="0" distB="0" distL="0" distR="0" wp14:anchorId="324270D0" wp14:editId="39EE97BB">
                                          <wp:extent cx="2209800" cy="1571625"/>
                                          <wp:effectExtent l="0" t="0" r="0" b="9525"/>
                                          <wp:docPr id="10" name="Picture 10" descr="cid:image005.jpg@01D051DC.2BA3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5.jpg@01D051DC.2BA3BB7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209800" cy="1571625"/>
                                                  </a:xfrm>
                                                  <a:prstGeom prst="rect">
                                                    <a:avLst/>
                                                  </a:prstGeom>
                                                  <a:noFill/>
                                                  <a:ln>
                                                    <a:noFill/>
                                                  </a:ln>
                                                </pic:spPr>
                                              </pic:pic>
                                            </a:graphicData>
                                          </a:graphic>
                                        </wp:inline>
                                      </w:drawing>
                                    </w:r>
                                    <w:r>
                                      <w:rPr>
                                        <w:b/>
                                        <w:bCs/>
                                        <w:noProof/>
                                        <w:sz w:val="20"/>
                                        <w:szCs w:val="20"/>
                                      </w:rPr>
                                      <w:drawing>
                                        <wp:inline distT="0" distB="0" distL="0" distR="0" wp14:anchorId="113FB54E" wp14:editId="541B390B">
                                          <wp:extent cx="1076325" cy="1609725"/>
                                          <wp:effectExtent l="0" t="0" r="9525" b="9525"/>
                                          <wp:docPr id="9" name="Picture 9" descr="cid:image006.jpg@01D051DC.2BA3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id:image006.jpg@01D051DC.2BA3BB7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076325" cy="1609725"/>
                                                  </a:xfrm>
                                                  <a:prstGeom prst="rect">
                                                    <a:avLst/>
                                                  </a:prstGeom>
                                                  <a:noFill/>
                                                  <a:ln>
                                                    <a:noFill/>
                                                  </a:ln>
                                                </pic:spPr>
                                              </pic:pic>
                                            </a:graphicData>
                                          </a:graphic>
                                        </wp:inline>
                                      </w:drawing>
                                    </w:r>
                                  </w:p>
                                  <w:p w:rsidR="00DB3CA0" w:rsidRDefault="00DB3CA0">
                                    <w:pPr>
                                      <w:spacing w:after="200" w:line="255" w:lineRule="atLeast"/>
                                      <w:jc w:val="center"/>
                                      <w:rPr>
                                        <w:lang w:val="en-GB"/>
                                      </w:rPr>
                                    </w:pPr>
                                    <w:r>
                                      <w:rPr>
                                        <w:b/>
                                        <w:bCs/>
                                        <w:noProof/>
                                        <w:sz w:val="20"/>
                                        <w:szCs w:val="20"/>
                                      </w:rPr>
                                      <w:drawing>
                                        <wp:inline distT="0" distB="0" distL="0" distR="0" wp14:anchorId="33682E51" wp14:editId="3EC5B2AA">
                                          <wp:extent cx="2209800" cy="847725"/>
                                          <wp:effectExtent l="0" t="0" r="0" b="9525"/>
                                          <wp:docPr id="8" name="Picture 8" descr="cid:image007.jpg@01D051DC.2BA3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id:image007.jpg@01D051DC.2BA3BB7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209800" cy="847725"/>
                                                  </a:xfrm>
                                                  <a:prstGeom prst="rect">
                                                    <a:avLst/>
                                                  </a:prstGeom>
                                                  <a:noFill/>
                                                  <a:ln>
                                                    <a:noFill/>
                                                  </a:ln>
                                                </pic:spPr>
                                              </pic:pic>
                                            </a:graphicData>
                                          </a:graphic>
                                        </wp:inline>
                                      </w:drawing>
                                    </w:r>
                                    <w:r>
                                      <w:rPr>
                                        <w:b/>
                                        <w:bCs/>
                                        <w:noProof/>
                                        <w:sz w:val="20"/>
                                        <w:szCs w:val="20"/>
                                      </w:rPr>
                                      <w:drawing>
                                        <wp:inline distT="0" distB="0" distL="0" distR="0" wp14:anchorId="41640A69" wp14:editId="35F03224">
                                          <wp:extent cx="1076325" cy="847725"/>
                                          <wp:effectExtent l="0" t="0" r="9525" b="9525"/>
                                          <wp:docPr id="7" name="Picture 7" descr="cid:image008.jpg@01D051DC.2BA3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id:image008.jpg@01D051DC.2BA3BB7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076325" cy="847725"/>
                                                  </a:xfrm>
                                                  <a:prstGeom prst="rect">
                                                    <a:avLst/>
                                                  </a:prstGeom>
                                                  <a:noFill/>
                                                  <a:ln>
                                                    <a:noFill/>
                                                  </a:ln>
                                                </pic:spPr>
                                              </pic:pic>
                                            </a:graphicData>
                                          </a:graphic>
                                        </wp:inline>
                                      </w:drawing>
                                    </w:r>
                                  </w:p>
                                </w:tc>
                              </w:tr>
                              <w:tr w:rsidR="00DB3CA0">
                                <w:trPr>
                                  <w:trHeight w:val="1350"/>
                                  <w:tblCellSpacing w:w="0" w:type="dxa"/>
                                </w:trPr>
                                <w:tc>
                                  <w:tcPr>
                                    <w:tcW w:w="5190" w:type="dxa"/>
                                    <w:vAlign w:val="center"/>
                                    <w:hideMark/>
                                  </w:tcPr>
                                  <w:p w:rsidR="00DB3CA0" w:rsidRDefault="00DB3CA0">
                                    <w:pPr>
                                      <w:spacing w:after="200" w:line="255" w:lineRule="atLeast"/>
                                      <w:jc w:val="right"/>
                                      <w:rPr>
                                        <w:lang w:val="en-GB"/>
                                      </w:rPr>
                                    </w:pPr>
                                    <w:r>
                                      <w:rPr>
                                        <w:b/>
                                        <w:bCs/>
                                        <w:noProof/>
                                        <w:sz w:val="20"/>
                                        <w:szCs w:val="20"/>
                                      </w:rPr>
                                      <w:drawing>
                                        <wp:inline distT="0" distB="0" distL="0" distR="0" wp14:anchorId="5AC05A4E" wp14:editId="20554A44">
                                          <wp:extent cx="3238500" cy="971550"/>
                                          <wp:effectExtent l="0" t="0" r="0" b="0"/>
                                          <wp:docPr id="6" name="Picture 6" descr="cid:image009.jpg@01D051DC.2BA3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id:image009.jpg@01D051DC.2BA3BB7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238500" cy="971550"/>
                                                  </a:xfrm>
                                                  <a:prstGeom prst="rect">
                                                    <a:avLst/>
                                                  </a:prstGeom>
                                                  <a:noFill/>
                                                  <a:ln>
                                                    <a:noFill/>
                                                  </a:ln>
                                                </pic:spPr>
                                              </pic:pic>
                                            </a:graphicData>
                                          </a:graphic>
                                        </wp:inline>
                                      </w:drawing>
                                    </w:r>
                                  </w:p>
                                </w:tc>
                                <w:tc>
                                  <w:tcPr>
                                    <w:tcW w:w="20" w:type="dxa"/>
                                    <w:vAlign w:val="center"/>
                                    <w:hideMark/>
                                  </w:tcPr>
                                  <w:p w:rsidR="00DB3CA0" w:rsidRDefault="00DB3CA0">
                                    <w:pPr>
                                      <w:rPr>
                                        <w:lang w:val="en-GB"/>
                                      </w:rPr>
                                    </w:pPr>
                                  </w:p>
                                </w:tc>
                                <w:tc>
                                  <w:tcPr>
                                    <w:tcW w:w="5585" w:type="dxa"/>
                                    <w:vAlign w:val="center"/>
                                    <w:hideMark/>
                                  </w:tcPr>
                                  <w:tbl>
                                    <w:tblPr>
                                      <w:tblpPr w:leftFromText="180" w:rightFromText="180" w:vertAnchor="text"/>
                                      <w:tblW w:w="5364" w:type="dxa"/>
                                      <w:tblCellSpacing w:w="0" w:type="dxa"/>
                                      <w:tblCellMar>
                                        <w:left w:w="0" w:type="dxa"/>
                                        <w:right w:w="0" w:type="dxa"/>
                                      </w:tblCellMar>
                                      <w:tblLook w:val="04A0" w:firstRow="1" w:lastRow="0" w:firstColumn="1" w:lastColumn="0" w:noHBand="0" w:noVBand="1"/>
                                    </w:tblPr>
                                    <w:tblGrid>
                                      <w:gridCol w:w="5364"/>
                                    </w:tblGrid>
                                    <w:tr w:rsidR="00DB3CA0">
                                      <w:trPr>
                                        <w:tblCellSpacing w:w="0" w:type="dxa"/>
                                      </w:trPr>
                                      <w:tc>
                                        <w:tcPr>
                                          <w:tcW w:w="5000" w:type="pct"/>
                                          <w:shd w:val="clear" w:color="auto" w:fill="FF0000"/>
                                          <w:tcMar>
                                            <w:top w:w="300" w:type="dxa"/>
                                            <w:left w:w="300" w:type="dxa"/>
                                            <w:bottom w:w="300" w:type="dxa"/>
                                            <w:right w:w="300" w:type="dxa"/>
                                          </w:tcMar>
                                          <w:vAlign w:val="center"/>
                                          <w:hideMark/>
                                        </w:tcPr>
                                        <w:p w:rsidR="00DB3CA0" w:rsidRDefault="00DB3CA0" w:rsidP="00A506F5">
                                          <w:pPr>
                                            <w:spacing w:before="60" w:after="75" w:line="405" w:lineRule="atLeast"/>
                                            <w:rPr>
                                              <w:lang w:val="en-GB"/>
                                            </w:rPr>
                                          </w:pPr>
                                          <w:r>
                                            <w:rPr>
                                              <w:color w:val="FFFFFF"/>
                                              <w:sz w:val="40"/>
                                              <w:szCs w:val="40"/>
                                              <w:lang w:val="en-GB"/>
                                            </w:rPr>
                                            <w:t>1</w:t>
                                          </w:r>
                                          <w:r w:rsidR="00A506F5">
                                            <w:rPr>
                                              <w:color w:val="FFFFFF"/>
                                              <w:sz w:val="40"/>
                                              <w:szCs w:val="40"/>
                                              <w:lang w:val="en-GB"/>
                                            </w:rPr>
                                            <w:t>8</w:t>
                                          </w:r>
                                          <w:r>
                                            <w:rPr>
                                              <w:color w:val="FFFFFF"/>
                                              <w:sz w:val="40"/>
                                              <w:szCs w:val="40"/>
                                              <w:lang w:val="en-GB"/>
                                            </w:rPr>
                                            <w:t xml:space="preserve"> March 2015</w:t>
                                          </w:r>
                                        </w:p>
                                      </w:tc>
                                    </w:tr>
                                  </w:tbl>
                                  <w:p w:rsidR="00DB3CA0" w:rsidRDefault="00DB3CA0">
                                    <w:pPr>
                                      <w:rPr>
                                        <w:rFonts w:ascii="Times New Roman" w:eastAsia="Times New Roman" w:hAnsi="Times New Roman"/>
                                        <w:sz w:val="20"/>
                                        <w:szCs w:val="20"/>
                                      </w:rPr>
                                    </w:pPr>
                                  </w:p>
                                </w:tc>
                              </w:tr>
                            </w:tbl>
                            <w:p w:rsidR="00DB3CA0" w:rsidRDefault="00DB3CA0">
                              <w:pPr>
                                <w:rPr>
                                  <w:rFonts w:ascii="Times New Roman" w:eastAsia="Times New Roman" w:hAnsi="Times New Roman"/>
                                  <w:sz w:val="20"/>
                                  <w:szCs w:val="20"/>
                                </w:rPr>
                              </w:pPr>
                            </w:p>
                          </w:tc>
                        </w:tr>
                      </w:tbl>
                      <w:p w:rsidR="00DB3CA0" w:rsidRDefault="00DB3CA0">
                        <w:pPr>
                          <w:jc w:val="center"/>
                          <w:rPr>
                            <w:rFonts w:ascii="Times New Roman" w:eastAsia="Times New Roman" w:hAnsi="Times New Roman"/>
                            <w:sz w:val="20"/>
                            <w:szCs w:val="20"/>
                          </w:rPr>
                        </w:pPr>
                      </w:p>
                    </w:tc>
                  </w:tr>
                </w:tbl>
                <w:p w:rsidR="00DB3CA0" w:rsidRDefault="00DB3CA0">
                  <w:pPr>
                    <w:jc w:val="center"/>
                    <w:rPr>
                      <w:rFonts w:ascii="Times New Roman" w:eastAsia="Times New Roman" w:hAnsi="Times New Roman"/>
                      <w:sz w:val="20"/>
                      <w:szCs w:val="20"/>
                    </w:rPr>
                  </w:pPr>
                </w:p>
              </w:tc>
            </w:tr>
            <w:tr w:rsidR="00DB3CA0">
              <w:trPr>
                <w:trHeight w:val="435"/>
                <w:tblCellSpacing w:w="0" w:type="dxa"/>
                <w:jc w:val="center"/>
              </w:trPr>
              <w:tc>
                <w:tcPr>
                  <w:tcW w:w="10841" w:type="dxa"/>
                  <w:shd w:val="clear" w:color="auto" w:fill="FF0000"/>
                  <w:vAlign w:val="center"/>
                  <w:hideMark/>
                </w:tcPr>
                <w:p w:rsidR="00DB3CA0" w:rsidRDefault="00DB3CA0">
                  <w:pPr>
                    <w:spacing w:line="276" w:lineRule="auto"/>
                    <w:rPr>
                      <w:lang w:val="en-GB"/>
                    </w:rPr>
                  </w:pPr>
                  <w:r>
                    <w:rPr>
                      <w:color w:val="FFFFFF"/>
                      <w:sz w:val="32"/>
                      <w:szCs w:val="32"/>
                      <w:shd w:val="clear" w:color="auto" w:fill="FF0000"/>
                      <w:lang w:val="en-GB"/>
                    </w:rPr>
                    <w:t>Latest</w:t>
                  </w:r>
                  <w:r>
                    <w:rPr>
                      <w:color w:val="FFFFFF"/>
                      <w:sz w:val="32"/>
                      <w:szCs w:val="32"/>
                      <w:lang w:val="en-GB"/>
                    </w:rPr>
                    <w:t xml:space="preserve"> Amendments and News</w:t>
                  </w:r>
                </w:p>
              </w:tc>
              <w:tc>
                <w:tcPr>
                  <w:tcW w:w="1054" w:type="dxa"/>
                  <w:vAlign w:val="center"/>
                  <w:hideMark/>
                </w:tcPr>
                <w:p w:rsidR="00DB3CA0" w:rsidRDefault="00DB3CA0">
                  <w:pPr>
                    <w:spacing w:line="276" w:lineRule="auto"/>
                    <w:rPr>
                      <w:lang w:val="en-GB"/>
                    </w:rPr>
                  </w:pPr>
                  <w:r>
                    <w:rPr>
                      <w:lang w:val="en-GB"/>
                    </w:rPr>
                    <w:t> </w:t>
                  </w:r>
                </w:p>
              </w:tc>
            </w:tr>
            <w:tr w:rsidR="00DB3CA0">
              <w:trPr>
                <w:trHeight w:val="10915"/>
                <w:tblCellSpacing w:w="0" w:type="dxa"/>
                <w:jc w:val="center"/>
              </w:trPr>
              <w:tc>
                <w:tcPr>
                  <w:tcW w:w="0" w:type="auto"/>
                  <w:gridSpan w:val="2"/>
                  <w:tcMar>
                    <w:top w:w="0" w:type="dxa"/>
                    <w:left w:w="300" w:type="dxa"/>
                    <w:bottom w:w="0" w:type="dxa"/>
                    <w:right w:w="300" w:type="dxa"/>
                  </w:tcMar>
                  <w:vAlign w:val="center"/>
                  <w:hideMark/>
                </w:tcPr>
                <w:tbl>
                  <w:tblPr>
                    <w:tblW w:w="11278" w:type="dxa"/>
                    <w:jc w:val="center"/>
                    <w:tblCellSpacing w:w="0" w:type="dxa"/>
                    <w:tblCellMar>
                      <w:left w:w="0" w:type="dxa"/>
                      <w:right w:w="0" w:type="dxa"/>
                    </w:tblCellMar>
                    <w:tblLook w:val="04A0" w:firstRow="1" w:lastRow="0" w:firstColumn="1" w:lastColumn="0" w:noHBand="0" w:noVBand="1"/>
                  </w:tblPr>
                  <w:tblGrid>
                    <w:gridCol w:w="5438"/>
                    <w:gridCol w:w="253"/>
                    <w:gridCol w:w="5390"/>
                    <w:gridCol w:w="197"/>
                  </w:tblGrid>
                  <w:tr w:rsidR="00DB3CA0" w:rsidTr="00537A68">
                    <w:trPr>
                      <w:tblCellSpacing w:w="0" w:type="dxa"/>
                      <w:jc w:val="center"/>
                    </w:trPr>
                    <w:tc>
                      <w:tcPr>
                        <w:tcW w:w="11081" w:type="dxa"/>
                        <w:gridSpan w:val="3"/>
                        <w:hideMark/>
                      </w:tcPr>
                      <w:p w:rsidR="00DB3CA0" w:rsidRDefault="00A506F5">
                        <w:pPr>
                          <w:spacing w:before="150" w:after="75" w:line="255" w:lineRule="atLeast"/>
                          <w:ind w:right="147"/>
                          <w:jc w:val="both"/>
                          <w:rPr>
                            <w:lang w:val="en-GB"/>
                          </w:rPr>
                        </w:pPr>
                        <w:r>
                          <w:rPr>
                            <w:b/>
                            <w:bCs/>
                            <w:lang w:val="en-GB"/>
                          </w:rPr>
                          <w:lastRenderedPageBreak/>
                          <w:t>HOW CUSTOMS WILL TREAT OFFENCES UNDER THE CUSTOMS CONTROL ACT AND CUSTOMS DUTY ACT</w:t>
                        </w:r>
                      </w:p>
                      <w:p w:rsidR="00664CFB" w:rsidRPr="00537A68" w:rsidRDefault="00664CFB" w:rsidP="00664CFB">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Section 78 to 96 of the current Customs and Excise Act and sections 886 to 901 in Chapter 40 of the Customs Control Act No 30 of 2014 and sections 211 to 219 in Chapter 12 of the Customs Duty Act No 30 of 2014 deal with a number of offences and the penalties which may be imposed for contravening them.  Most of these are regarded as serious offences.</w:t>
                        </w:r>
                      </w:p>
                      <w:p w:rsidR="00664CFB" w:rsidRPr="00537A68" w:rsidRDefault="00664CFB" w:rsidP="00664CFB">
                        <w:pPr>
                          <w:suppressAutoHyphens/>
                          <w:spacing w:line="100" w:lineRule="atLeast"/>
                          <w:rPr>
                            <w:rFonts w:asciiTheme="minorHAnsi" w:eastAsia="Times New Roman" w:hAnsiTheme="minorHAnsi" w:cs="Arial"/>
                            <w:lang w:val="en-ZA" w:bidi="en-US"/>
                          </w:rPr>
                        </w:pPr>
                      </w:p>
                      <w:p w:rsidR="00664CFB" w:rsidRPr="00537A68" w:rsidRDefault="00664CFB" w:rsidP="00664CFB">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Penalty guidelines have also been published under Annexure A which was attached to the fourth badge of the draft rules to the Customs Control Act (Chapters 32 to 41).</w:t>
                        </w:r>
                      </w:p>
                      <w:p w:rsidR="00664CFB" w:rsidRPr="00537A68" w:rsidRDefault="00664CFB" w:rsidP="00664CFB">
                        <w:pPr>
                          <w:suppressAutoHyphens/>
                          <w:spacing w:line="100" w:lineRule="atLeast"/>
                          <w:rPr>
                            <w:rFonts w:asciiTheme="minorHAnsi" w:eastAsia="Times New Roman" w:hAnsiTheme="minorHAnsi" w:cs="Arial"/>
                            <w:lang w:val="en-ZA" w:bidi="en-US"/>
                          </w:rPr>
                        </w:pPr>
                      </w:p>
                      <w:p w:rsidR="00664CFB" w:rsidRPr="00537A68" w:rsidRDefault="00664CFB" w:rsidP="00664CFB">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 xml:space="preserve">Annexure A contains the "penalty list" and has been incorporated in the document for ease of reference. Although it doesn't currently form part of the Rules, it will be published at a later stage as the list referred to in section 876(1)(a) of the Customs Control Act, 2014. </w:t>
                        </w:r>
                        <w:hyperlink r:id="rId24" w:history="1">
                          <w:r w:rsidRPr="00537A68">
                            <w:rPr>
                              <w:rStyle w:val="Hyperlink"/>
                              <w:color w:val="939598"/>
                              <w:u w:val="none"/>
                              <w:lang w:val="en-GB"/>
                            </w:rPr>
                            <w:t>Download the draft rules and Annexure A from the SARS website by clicking here</w:t>
                          </w:r>
                        </w:hyperlink>
                        <w:r w:rsidRPr="00537A68">
                          <w:rPr>
                            <w:rFonts w:asciiTheme="minorHAnsi" w:eastAsia="Times New Roman" w:hAnsiTheme="minorHAnsi" w:cs="Arial"/>
                            <w:lang w:val="en-ZA" w:bidi="en-US"/>
                          </w:rPr>
                          <w:t>.</w:t>
                        </w:r>
                        <w:r w:rsidRPr="00537A68">
                          <w:rPr>
                            <w:rFonts w:asciiTheme="minorHAnsi" w:eastAsia="Times New Roman" w:hAnsiTheme="minorHAnsi" w:cs="Arial"/>
                            <w:lang w:val="en-ZA" w:bidi="en-US"/>
                          </w:rPr>
                          <w:br/>
                        </w:r>
                      </w:p>
                      <w:p w:rsidR="00664CFB" w:rsidRPr="00537A68" w:rsidRDefault="00664CFB" w:rsidP="00664CFB">
                        <w:pPr>
                          <w:spacing w:after="160" w:line="259" w:lineRule="auto"/>
                          <w:rPr>
                            <w:rFonts w:asciiTheme="minorHAnsi" w:hAnsiTheme="minorHAnsi" w:cs="Arial"/>
                          </w:rPr>
                        </w:pPr>
                        <w:r w:rsidRPr="00537A68">
                          <w:rPr>
                            <w:rFonts w:asciiTheme="minorHAnsi" w:hAnsiTheme="minorHAnsi" w:cs="Arial"/>
                          </w:rPr>
                          <w:t>Let us look at compare some offences of the current Customs and Excise Act and see how it will change under the new legislation.</w:t>
                        </w:r>
                      </w:p>
                      <w:p w:rsidR="00664CFB" w:rsidRPr="00537A68" w:rsidRDefault="007A1962" w:rsidP="00664CFB">
                        <w:pPr>
                          <w:spacing w:after="160" w:line="259" w:lineRule="auto"/>
                          <w:rPr>
                            <w:rFonts w:cs="Arial"/>
                            <w:b/>
                          </w:rPr>
                        </w:pPr>
                        <w:r w:rsidRPr="00537A68">
                          <w:rPr>
                            <w:rFonts w:cs="Arial"/>
                            <w:b/>
                          </w:rPr>
                          <w:t>Serious offences</w:t>
                        </w:r>
                      </w:p>
                      <w:p w:rsidR="007A1962" w:rsidRPr="00537A68" w:rsidRDefault="007A1962" w:rsidP="00537A68">
                        <w:pPr>
                          <w:spacing w:before="150" w:after="75" w:line="255" w:lineRule="atLeast"/>
                          <w:ind w:right="147"/>
                          <w:jc w:val="both"/>
                          <w:rPr>
                            <w:rFonts w:asciiTheme="minorHAnsi" w:hAnsiTheme="minorHAnsi" w:cs="Arial"/>
                            <w:lang w:val="en-GB"/>
                          </w:rPr>
                        </w:pPr>
                        <w:r w:rsidRPr="00537A68">
                          <w:rPr>
                            <w:rFonts w:asciiTheme="minorHAnsi" w:hAnsiTheme="minorHAnsi" w:cs="Arial"/>
                            <w:lang w:val="en-GB"/>
                          </w:rPr>
                          <w:t>Section 80(1)(i) of the Customs and Excise Act No 91 of 1964 / Customs Control Act No 31 of 2014 section 887 (1)(f)</w:t>
                        </w:r>
                        <w:r w:rsidR="00537A68">
                          <w:rPr>
                            <w:rFonts w:asciiTheme="minorHAnsi" w:hAnsiTheme="minorHAnsi" w:cs="Arial"/>
                            <w:lang w:val="en-GB"/>
                          </w:rPr>
                          <w:t xml:space="preserve">. </w:t>
                        </w:r>
                        <w:r w:rsidRPr="00537A68">
                          <w:rPr>
                            <w:rFonts w:asciiTheme="minorHAnsi" w:hAnsiTheme="minorHAnsi" w:cs="Arial"/>
                            <w:lang w:val="en-GB"/>
                          </w:rPr>
                          <w:t>Deals with the improper use of a Lic</w:t>
                        </w:r>
                        <w:r w:rsidR="00537A68">
                          <w:rPr>
                            <w:rFonts w:asciiTheme="minorHAnsi" w:hAnsiTheme="minorHAnsi" w:cs="Arial"/>
                            <w:lang w:val="en-GB"/>
                          </w:rPr>
                          <w:t>ence, permit or other document.</w:t>
                        </w:r>
                      </w:p>
                      <w:p w:rsidR="007A1962" w:rsidRPr="00537A68" w:rsidRDefault="007A1962" w:rsidP="00537A68">
                        <w:pPr>
                          <w:spacing w:before="150" w:after="75" w:line="255" w:lineRule="atLeast"/>
                          <w:ind w:right="147"/>
                          <w:jc w:val="both"/>
                          <w:rPr>
                            <w:rFonts w:asciiTheme="minorHAnsi" w:hAnsiTheme="minorHAnsi" w:cs="Arial"/>
                            <w:lang w:val="en-GB"/>
                          </w:rPr>
                        </w:pPr>
                        <w:r w:rsidRPr="00537A68">
                          <w:rPr>
                            <w:rFonts w:asciiTheme="minorHAnsi" w:hAnsiTheme="minorHAnsi" w:cs="Arial"/>
                            <w:lang w:val="en-GB"/>
                          </w:rPr>
                          <w:t>Section 80(1)(j) of the Customs and Excise Act No 91 of 1964 / Customs Control Act No 31 of 2014 section 887 (1) (b)</w:t>
                        </w:r>
                        <w:r w:rsidR="00537A68">
                          <w:rPr>
                            <w:rFonts w:asciiTheme="minorHAnsi" w:hAnsiTheme="minorHAnsi" w:cs="Arial"/>
                            <w:lang w:val="en-GB"/>
                          </w:rPr>
                          <w:t xml:space="preserve">. </w:t>
                        </w:r>
                        <w:r w:rsidRPr="00537A68">
                          <w:rPr>
                            <w:rFonts w:asciiTheme="minorHAnsi" w:hAnsiTheme="minorHAnsi" w:cs="Arial"/>
                            <w:lang w:val="en-GB"/>
                          </w:rPr>
                          <w:t>Claiming or receiving any rebate, drawback, refund or other payment to which you know you are not entitled.</w:t>
                        </w:r>
                        <w:r w:rsidRPr="00537A68">
                          <w:rPr>
                            <w:rFonts w:asciiTheme="minorHAnsi" w:hAnsiTheme="minorHAnsi" w:cs="Arial"/>
                            <w:lang w:val="en-GB"/>
                          </w:rPr>
                          <w:br/>
                          <w:t>These types of offences attract fines not exceeding R 20 000 or treble the value of the goods or imprisonment not exceeding five years or to both the fine and imprisonment in terms of the Customs and Excise Act No 91 of 1964.</w:t>
                        </w:r>
                      </w:p>
                      <w:p w:rsidR="007A1962" w:rsidRPr="00537A68" w:rsidRDefault="007A1962" w:rsidP="00537A68">
                        <w:pPr>
                          <w:spacing w:before="150" w:after="75" w:line="255" w:lineRule="atLeast"/>
                          <w:ind w:right="147"/>
                          <w:jc w:val="both"/>
                          <w:rPr>
                            <w:rFonts w:asciiTheme="minorHAnsi" w:hAnsiTheme="minorHAnsi" w:cs="Arial"/>
                            <w:lang w:val="en-GB"/>
                          </w:rPr>
                        </w:pPr>
                        <w:r w:rsidRPr="00537A68">
                          <w:rPr>
                            <w:rFonts w:asciiTheme="minorHAnsi" w:hAnsiTheme="minorHAnsi" w:cs="Arial"/>
                            <w:lang w:val="en-GB"/>
                          </w:rPr>
                          <w:t>This is a Category 1 offence in the Customs Control Act No 31 of 2014.  The Customs Duty Act No 30 of 2014 also deals with Category 1 in Chapter 12.</w:t>
                        </w:r>
                      </w:p>
                      <w:p w:rsidR="007A1962" w:rsidRPr="00537A68" w:rsidRDefault="007A1962" w:rsidP="00537A68">
                        <w:pPr>
                          <w:spacing w:before="150" w:after="75" w:line="255" w:lineRule="atLeast"/>
                          <w:ind w:right="147"/>
                          <w:jc w:val="both"/>
                          <w:rPr>
                            <w:rFonts w:asciiTheme="minorHAnsi" w:hAnsiTheme="minorHAnsi" w:cs="Arial"/>
                            <w:lang w:val="en-GB"/>
                          </w:rPr>
                        </w:pPr>
                        <w:r w:rsidRPr="00537A68">
                          <w:rPr>
                            <w:rFonts w:asciiTheme="minorHAnsi" w:hAnsiTheme="minorHAnsi" w:cs="Arial"/>
                            <w:lang w:val="en-GB"/>
                          </w:rPr>
                          <w:t>A person convicted of a Category 1 offence in terms of section 890(1) the Customs Control Act is liable to imprisonment for a period not exceeding five (5) years or a fine not exceeding R 1000 000 or a higher amount prescribed in terms the Adjustment of Fines Act No 101 of 1991, or to both the fine and imprisonment.</w:t>
                        </w:r>
                      </w:p>
                      <w:p w:rsidR="007A1962" w:rsidRPr="00537A68" w:rsidRDefault="007A1962" w:rsidP="00537A68">
                        <w:pPr>
                          <w:spacing w:before="150" w:after="75" w:line="255" w:lineRule="atLeast"/>
                          <w:ind w:right="147"/>
                          <w:jc w:val="both"/>
                          <w:rPr>
                            <w:rFonts w:asciiTheme="minorHAnsi" w:hAnsiTheme="minorHAnsi" w:cs="Arial"/>
                            <w:lang w:val="en-GB"/>
                          </w:rPr>
                        </w:pPr>
                        <w:r w:rsidRPr="00537A68">
                          <w:rPr>
                            <w:rFonts w:asciiTheme="minorHAnsi" w:hAnsiTheme="minorHAnsi" w:cs="Arial"/>
                            <w:lang w:val="en-GB"/>
                          </w:rPr>
                          <w:t xml:space="preserve">If a person is convicted for a Category 1 offence again within 5 years of the date of the original conviction, the court must consider the imposition of a period of imprisonment not exceeding 5 years without the option of a fine in terms of </w:t>
                        </w:r>
                        <w:r w:rsidR="00537A68">
                          <w:rPr>
                            <w:rFonts w:asciiTheme="minorHAnsi" w:hAnsiTheme="minorHAnsi" w:cs="Arial"/>
                            <w:lang w:val="en-GB"/>
                          </w:rPr>
                          <w:br/>
                          <w:t>section 890(2).</w:t>
                        </w:r>
                      </w:p>
                      <w:p w:rsidR="007A1962" w:rsidRPr="00537A68" w:rsidRDefault="007A1962" w:rsidP="00537A68">
                        <w:pPr>
                          <w:spacing w:before="150" w:after="75" w:line="255" w:lineRule="atLeast"/>
                          <w:ind w:right="147"/>
                          <w:jc w:val="both"/>
                          <w:rPr>
                            <w:rFonts w:asciiTheme="minorHAnsi" w:hAnsiTheme="minorHAnsi" w:cs="Arial"/>
                            <w:b/>
                            <w:lang w:val="en-GB"/>
                          </w:rPr>
                        </w:pPr>
                        <w:r w:rsidRPr="00537A68">
                          <w:rPr>
                            <w:rFonts w:asciiTheme="minorHAnsi" w:hAnsiTheme="minorHAnsi" w:cs="Arial"/>
                            <w:b/>
                            <w:lang w:val="en-GB"/>
                          </w:rPr>
                          <w:t>Other offences</w:t>
                        </w:r>
                      </w:p>
                      <w:p w:rsid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Section 83 (c) of the Customs</w:t>
                        </w:r>
                        <w:r w:rsidR="00537A68">
                          <w:rPr>
                            <w:rFonts w:asciiTheme="minorHAnsi" w:eastAsia="Times New Roman" w:hAnsiTheme="minorHAnsi" w:cs="Arial"/>
                            <w:lang w:val="en-ZA" w:bidi="en-US"/>
                          </w:rPr>
                          <w:t xml:space="preserve"> and Excise Act No 91 of 1964/</w:t>
                        </w:r>
                        <w:r w:rsidRPr="00537A68">
                          <w:rPr>
                            <w:rFonts w:asciiTheme="minorHAnsi" w:eastAsia="Times New Roman" w:hAnsiTheme="minorHAnsi" w:cs="Arial"/>
                            <w:lang w:val="en-ZA" w:bidi="en-US"/>
                          </w:rPr>
                          <w:t>Customs Control Ac</w:t>
                        </w:r>
                        <w:r w:rsidR="00537A68">
                          <w:rPr>
                            <w:rFonts w:asciiTheme="minorHAnsi" w:eastAsia="Times New Roman" w:hAnsiTheme="minorHAnsi" w:cs="Arial"/>
                            <w:lang w:val="en-ZA" w:bidi="en-US"/>
                          </w:rPr>
                          <w:t>t No 31 of 2014 section 887(1)</w:t>
                        </w:r>
                        <w:r w:rsidRPr="00537A68">
                          <w:rPr>
                            <w:rFonts w:asciiTheme="minorHAnsi" w:eastAsia="Times New Roman" w:hAnsiTheme="minorHAnsi" w:cs="Arial"/>
                            <w:lang w:val="en-ZA" w:bidi="en-US"/>
                          </w:rPr>
                          <w:t>(n)</w:t>
                        </w:r>
                        <w:r w:rsidR="00537A68">
                          <w:rPr>
                            <w:rFonts w:asciiTheme="minorHAnsi" w:eastAsia="Times New Roman" w:hAnsiTheme="minorHAnsi" w:cs="Arial"/>
                            <w:lang w:val="en-ZA" w:bidi="en-US"/>
                          </w:rPr>
                          <w:t>.</w:t>
                        </w:r>
                      </w:p>
                      <w:p w:rsidR="00537A68" w:rsidRDefault="00537A68" w:rsidP="00537A68">
                        <w:pPr>
                          <w:suppressAutoHyphens/>
                          <w:spacing w:line="100" w:lineRule="atLeast"/>
                          <w:rPr>
                            <w:rFonts w:asciiTheme="minorHAnsi" w:eastAsia="Times New Roman" w:hAnsiTheme="minorHAnsi" w:cs="Arial"/>
                            <w:lang w:val="en-ZA" w:bidi="en-US"/>
                          </w:rPr>
                        </w:pPr>
                      </w:p>
                      <w:p w:rsid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Making an arrangement with the supplie</w:t>
                        </w:r>
                        <w:r w:rsidR="00537A68">
                          <w:rPr>
                            <w:rFonts w:asciiTheme="minorHAnsi" w:eastAsia="Times New Roman" w:hAnsiTheme="minorHAnsi" w:cs="Arial"/>
                            <w:lang w:val="en-ZA" w:bidi="en-US"/>
                          </w:rPr>
                          <w:t>r e.g. to alter an invoice etc.</w:t>
                        </w:r>
                      </w:p>
                      <w:p w:rsidR="00537A68" w:rsidRDefault="00537A68" w:rsidP="00537A68">
                        <w:pPr>
                          <w:suppressAutoHyphens/>
                          <w:spacing w:line="100" w:lineRule="atLeast"/>
                          <w:rPr>
                            <w:rFonts w:asciiTheme="minorHAnsi" w:eastAsia="Times New Roman" w:hAnsiTheme="minorHAnsi" w:cs="Arial"/>
                            <w:lang w:val="en-ZA" w:bidi="en-US"/>
                          </w:rPr>
                        </w:pPr>
                      </w:p>
                      <w:p w:rsid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The penalty is the same as for Section 80 of the Customs and Excise Act No 91 of 1964. The punishment will also be the same as for section 890 of the Customs Control Act No 30 of 2014 as this</w:t>
                        </w:r>
                        <w:r w:rsidR="00537A68">
                          <w:rPr>
                            <w:rFonts w:asciiTheme="minorHAnsi" w:eastAsia="Times New Roman" w:hAnsiTheme="minorHAnsi" w:cs="Arial"/>
                            <w:lang w:val="en-ZA" w:bidi="en-US"/>
                          </w:rPr>
                          <w:t xml:space="preserve"> is a Category 1 offence too.</w:t>
                        </w:r>
                      </w:p>
                      <w:p w:rsidR="00537A68" w:rsidRDefault="00537A68" w:rsidP="00537A68">
                        <w:pPr>
                          <w:suppressAutoHyphens/>
                          <w:spacing w:line="100" w:lineRule="atLeast"/>
                          <w:rPr>
                            <w:rFonts w:asciiTheme="minorHAnsi" w:eastAsia="Times New Roman" w:hAnsiTheme="minorHAnsi" w:cs="Arial"/>
                            <w:lang w:val="en-ZA" w:bidi="en-US"/>
                          </w:rPr>
                        </w:pPr>
                      </w:p>
                      <w:p w:rsidR="007A1962" w:rsidRP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Section 84 (False documents and declarations) of the Customs and E</w:t>
                        </w:r>
                        <w:r w:rsidR="00537A68">
                          <w:rPr>
                            <w:rFonts w:asciiTheme="minorHAnsi" w:eastAsia="Times New Roman" w:hAnsiTheme="minorHAnsi" w:cs="Arial"/>
                            <w:lang w:val="en-ZA" w:bidi="en-US"/>
                          </w:rPr>
                          <w:t>xcise Act No 91 of 1964/</w:t>
                        </w:r>
                        <w:r w:rsidRPr="00537A68">
                          <w:rPr>
                            <w:rFonts w:asciiTheme="minorHAnsi" w:eastAsia="Times New Roman" w:hAnsiTheme="minorHAnsi" w:cs="Arial"/>
                            <w:lang w:val="en-ZA" w:bidi="en-US"/>
                          </w:rPr>
                          <w:t>Customs Control Ac</w:t>
                        </w:r>
                        <w:r w:rsidR="00537A68">
                          <w:rPr>
                            <w:rFonts w:asciiTheme="minorHAnsi" w:eastAsia="Times New Roman" w:hAnsiTheme="minorHAnsi" w:cs="Arial"/>
                            <w:lang w:val="en-ZA" w:bidi="en-US"/>
                          </w:rPr>
                          <w:t>t No 31 of 2014 section 887(1)</w:t>
                        </w:r>
                        <w:r w:rsidRPr="00537A68">
                          <w:rPr>
                            <w:rFonts w:asciiTheme="minorHAnsi" w:eastAsia="Times New Roman" w:hAnsiTheme="minorHAnsi" w:cs="Arial"/>
                            <w:lang w:val="en-ZA" w:bidi="en-US"/>
                          </w:rPr>
                          <w:t>(b)This is regarded as an extremely serious offence and the penalty is a fine not exceeding R 40 000 or treble the value of the goods or ten years imprisonment or both such fine and imprisonment in terms of the Customs and Excise Act No 91 of 1964.</w:t>
                        </w:r>
                      </w:p>
                      <w:p w:rsidR="007A1962" w:rsidRPr="00537A68" w:rsidRDefault="007A1962" w:rsidP="00537A68">
                        <w:pPr>
                          <w:suppressAutoHyphens/>
                          <w:spacing w:line="100" w:lineRule="atLeast"/>
                          <w:rPr>
                            <w:rFonts w:asciiTheme="minorHAnsi" w:eastAsia="Times New Roman" w:hAnsiTheme="minorHAnsi" w:cs="Arial"/>
                            <w:lang w:val="en-ZA" w:bidi="en-US"/>
                          </w:rPr>
                        </w:pPr>
                      </w:p>
                      <w:p w:rsidR="007A1962" w:rsidRP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lastRenderedPageBreak/>
                          <w:t>This is a Category 1 offence in the Customs Control Act No 31 of 2014.  The Customs Duty Act No 30 of 2014 also deals with Category 1 in Chapter 12.</w:t>
                        </w:r>
                      </w:p>
                      <w:p w:rsidR="007A1962" w:rsidRPr="00537A68" w:rsidRDefault="007A1962" w:rsidP="00537A68">
                        <w:pPr>
                          <w:suppressAutoHyphens/>
                          <w:spacing w:line="100" w:lineRule="atLeast"/>
                          <w:rPr>
                            <w:rFonts w:asciiTheme="minorHAnsi" w:eastAsia="Times New Roman" w:hAnsiTheme="minorHAnsi" w:cs="Arial"/>
                            <w:lang w:val="en-ZA" w:bidi="en-US"/>
                          </w:rPr>
                        </w:pPr>
                      </w:p>
                      <w:p w:rsidR="007A1962" w:rsidRP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A person convicted of a Category 1 offence in terms of section 890(1) the Customs Control Act is liable to imprisonment for a period not exceeding five (5) years or a fine not exceeding R 1000 000 or a higher amount prescribed in terms the Adjustment of Fines Act No 101 of 1991, or to both the fine and imprisonment.</w:t>
                        </w:r>
                      </w:p>
                      <w:p w:rsidR="007A1962" w:rsidRPr="00537A68" w:rsidRDefault="007A1962" w:rsidP="00537A68">
                        <w:pPr>
                          <w:suppressAutoHyphens/>
                          <w:spacing w:line="100" w:lineRule="atLeast"/>
                          <w:rPr>
                            <w:rFonts w:asciiTheme="minorHAnsi" w:eastAsia="Times New Roman" w:hAnsiTheme="minorHAnsi" w:cs="Arial"/>
                            <w:lang w:val="en-ZA" w:bidi="en-US"/>
                          </w:rPr>
                        </w:pPr>
                      </w:p>
                      <w:p w:rsidR="007A1962" w:rsidRP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 xml:space="preserve">If a person is convicted for a Category 1 offence again within 5 years of the date of the original conviction, the court must consider the imposition of a period of imprisonment not exceeding 5 years without the option of a fine in terms of section 890 (2).   </w:t>
                        </w:r>
                      </w:p>
                      <w:p w:rsidR="007A1962" w:rsidRPr="00537A68" w:rsidRDefault="007A1962" w:rsidP="00537A68">
                        <w:pPr>
                          <w:suppressAutoHyphens/>
                          <w:spacing w:line="100" w:lineRule="atLeast"/>
                          <w:rPr>
                            <w:rFonts w:asciiTheme="minorHAnsi" w:eastAsia="Times New Roman" w:hAnsiTheme="minorHAnsi" w:cs="Arial"/>
                            <w:lang w:val="en-ZA" w:bidi="en-US"/>
                          </w:rPr>
                        </w:pPr>
                      </w:p>
                      <w:p w:rsidR="007A1962" w:rsidRP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A person convicted of a Category 1 offence in terms of section 215 (1) the Customs Duty Act No 30 of 2014 is liable to imprisonment for a period not exceeding five (5) years or a fine not exceeding R 1000 000 or a higher amount prescribed in terms the Adjustment of Fines Act No 101 of 1991, or to both the fine and imprisonment.</w:t>
                        </w:r>
                      </w:p>
                      <w:p w:rsidR="007A1962" w:rsidRPr="00537A68" w:rsidRDefault="007A1962" w:rsidP="00537A68">
                        <w:pPr>
                          <w:suppressAutoHyphens/>
                          <w:spacing w:line="100" w:lineRule="atLeast"/>
                          <w:rPr>
                            <w:rFonts w:asciiTheme="minorHAnsi" w:eastAsia="Times New Roman" w:hAnsiTheme="minorHAnsi" w:cs="Arial"/>
                            <w:lang w:val="en-ZA" w:bidi="en-US"/>
                          </w:rPr>
                        </w:pPr>
                      </w:p>
                      <w:p w:rsidR="007A1962"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 xml:space="preserve">If a person is convicted for a Category 1 offence again within 5 years of the date of the original conviction, the court must consider the imposition of a period of imprisonment not exceeding 5 years without the option of a fine in terms of section 215 (2).     </w:t>
                        </w:r>
                      </w:p>
                      <w:p w:rsidR="007A1962" w:rsidRDefault="007A1962" w:rsidP="00537A68">
                        <w:pPr>
                          <w:suppressAutoHyphens/>
                          <w:spacing w:line="100" w:lineRule="atLeast"/>
                          <w:rPr>
                            <w:rFonts w:asciiTheme="minorHAnsi" w:eastAsia="Times New Roman" w:hAnsiTheme="minorHAnsi" w:cs="Arial"/>
                            <w:lang w:val="en-ZA" w:bidi="en-US"/>
                          </w:rPr>
                        </w:pPr>
                      </w:p>
                      <w:p w:rsidR="007A1962" w:rsidRP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A person convicted of a Category 1 offence in terms of section 215 (1) the Customs Duty Act No 30 of 2014 is liable to imprisonment for a period not exceeding five (5) years or a fine not exceeding R 1000 000 or a higher amount prescribed in terms the Adjustment of Fines Act No 101 of 1991, or to both the fine and imprisonment.</w:t>
                        </w:r>
                      </w:p>
                      <w:p w:rsidR="007A1962" w:rsidRPr="00537A68" w:rsidRDefault="007A1962" w:rsidP="00537A68">
                        <w:pPr>
                          <w:suppressAutoHyphens/>
                          <w:spacing w:line="100" w:lineRule="atLeast"/>
                          <w:rPr>
                            <w:rFonts w:asciiTheme="minorHAnsi" w:eastAsia="Times New Roman" w:hAnsiTheme="minorHAnsi" w:cs="Arial"/>
                            <w:lang w:val="en-ZA" w:bidi="en-US"/>
                          </w:rPr>
                        </w:pPr>
                      </w:p>
                      <w:p w:rsid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If a person is convicted for a Category 1 offence again within 5 years of the date of the original conviction, the court must consider the imposition of a period of imprisonment not exceeding 5 years without the option of a fine in terms of section 215 (2).</w:t>
                        </w:r>
                      </w:p>
                      <w:p w:rsidR="00537A68" w:rsidRDefault="00537A68" w:rsidP="00537A68">
                        <w:pPr>
                          <w:suppressAutoHyphens/>
                          <w:spacing w:line="100" w:lineRule="atLeast"/>
                          <w:rPr>
                            <w:rFonts w:asciiTheme="minorHAnsi" w:eastAsia="Times New Roman" w:hAnsiTheme="minorHAnsi" w:cs="Arial"/>
                            <w:lang w:val="en-ZA" w:bidi="en-US"/>
                          </w:rPr>
                        </w:pPr>
                      </w:p>
                      <w:p w:rsidR="007A1962" w:rsidRP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 xml:space="preserve">Category 2 Offences </w:t>
                        </w:r>
                        <w:r w:rsidRPr="00537A68">
                          <w:rPr>
                            <w:rFonts w:asciiTheme="minorHAnsi" w:eastAsia="Times New Roman" w:hAnsiTheme="minorHAnsi" w:cs="Arial"/>
                            <w:lang w:val="en-ZA" w:bidi="en-US"/>
                          </w:rPr>
                          <w:br/>
                        </w:r>
                        <w:r w:rsidRPr="00537A68">
                          <w:rPr>
                            <w:rFonts w:asciiTheme="minorHAnsi" w:eastAsia="Times New Roman" w:hAnsiTheme="minorHAnsi" w:cs="Arial"/>
                            <w:lang w:val="en-ZA" w:bidi="en-US"/>
                          </w:rPr>
                          <w:br/>
                          <w:t>The Customs Control Act No 31 of 2014 and the Customs Duty Act No 30 of 2014 also deals with Category 2 offences in section 888 and 213 respectively.</w:t>
                        </w:r>
                      </w:p>
                      <w:p w:rsidR="007A1962" w:rsidRPr="00537A68" w:rsidRDefault="007A1962" w:rsidP="00537A68">
                        <w:pPr>
                          <w:suppressAutoHyphens/>
                          <w:spacing w:line="100" w:lineRule="atLeast"/>
                          <w:rPr>
                            <w:rFonts w:asciiTheme="minorHAnsi" w:eastAsia="Times New Roman" w:hAnsiTheme="minorHAnsi" w:cs="Arial"/>
                            <w:lang w:val="en-ZA" w:bidi="en-US"/>
                          </w:rPr>
                        </w:pPr>
                      </w:p>
                      <w:p w:rsidR="007A1962" w:rsidRP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Category 2 offences in the Customs Control Act, section 888, relates to:</w:t>
                        </w:r>
                      </w:p>
                      <w:p w:rsidR="007A1962" w:rsidRPr="00537A68" w:rsidRDefault="007A1962" w:rsidP="00537A68">
                        <w:pPr>
                          <w:pStyle w:val="ListParagraph"/>
                          <w:numPr>
                            <w:ilvl w:val="0"/>
                            <w:numId w:val="4"/>
                          </w:num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Failure to comply with a request or direction of Customs;</w:t>
                        </w:r>
                      </w:p>
                      <w:p w:rsidR="007A1962" w:rsidRPr="00537A68" w:rsidRDefault="007A1962" w:rsidP="00537A68">
                        <w:pPr>
                          <w:pStyle w:val="ListParagraph"/>
                          <w:numPr>
                            <w:ilvl w:val="0"/>
                            <w:numId w:val="4"/>
                          </w:num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If a person pretends to be a customs officer;</w:t>
                        </w:r>
                      </w:p>
                      <w:p w:rsidR="007A1962" w:rsidRPr="00537A68" w:rsidRDefault="007A1962" w:rsidP="00537A68">
                        <w:pPr>
                          <w:pStyle w:val="ListParagraph"/>
                          <w:numPr>
                            <w:ilvl w:val="0"/>
                            <w:numId w:val="4"/>
                          </w:num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If a person hinders or interferes with a customs officer in the execution of his official duties;</w:t>
                        </w:r>
                      </w:p>
                      <w:p w:rsidR="007A1962" w:rsidRPr="00537A68" w:rsidRDefault="007A1962" w:rsidP="00537A68">
                        <w:pPr>
                          <w:pStyle w:val="ListParagraph"/>
                          <w:numPr>
                            <w:ilvl w:val="0"/>
                            <w:numId w:val="4"/>
                          </w:num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If a person performs and act without authorization that may only be performed by a customs official or another authority; or</w:t>
                        </w:r>
                      </w:p>
                      <w:p w:rsidR="007A1962" w:rsidRPr="00537A68" w:rsidRDefault="007A1962" w:rsidP="00537A68">
                        <w:pPr>
                          <w:pStyle w:val="ListParagraph"/>
                          <w:numPr>
                            <w:ilvl w:val="0"/>
                            <w:numId w:val="4"/>
                          </w:num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If a person attempts to commit or assist in committing an act which is a Category 2 offence in terms of section 888 or any other section of the Customs Control Act.</w:t>
                        </w:r>
                      </w:p>
                      <w:p w:rsidR="007A1962" w:rsidRPr="00537A68" w:rsidRDefault="007A1962" w:rsidP="00537A68">
                        <w:pPr>
                          <w:suppressAutoHyphens/>
                          <w:spacing w:line="100" w:lineRule="atLeast"/>
                          <w:rPr>
                            <w:rFonts w:asciiTheme="minorHAnsi" w:eastAsia="Times New Roman" w:hAnsiTheme="minorHAnsi" w:cs="Arial"/>
                            <w:lang w:val="en-ZA" w:bidi="en-US"/>
                          </w:rPr>
                        </w:pPr>
                      </w:p>
                      <w:p w:rsidR="007A1962" w:rsidRPr="00537A68" w:rsidRDefault="007A1962" w:rsidP="00537A68">
                        <w:pPr>
                          <w:suppressAutoHyphens/>
                          <w:spacing w:line="100" w:lineRule="atLeast"/>
                          <w:rPr>
                            <w:rFonts w:asciiTheme="minorHAnsi" w:eastAsia="Times New Roman" w:hAnsiTheme="minorHAnsi" w:cs="Arial"/>
                            <w:lang w:val="en-ZA" w:bidi="en-US"/>
                          </w:rPr>
                        </w:pPr>
                        <w:r w:rsidRPr="00537A68">
                          <w:rPr>
                            <w:rFonts w:asciiTheme="minorHAnsi" w:eastAsia="Times New Roman" w:hAnsiTheme="minorHAnsi" w:cs="Arial"/>
                            <w:lang w:val="en-ZA" w:bidi="en-US"/>
                          </w:rPr>
                          <w:t>A person convicted of a Category 2 offence in terms of section 892 the Customs Control Act is liable to imprisonment for a period not exceeding three (3) years or a fine not exceeding R 500 000 or a higher amount prescribed in terms the Adjustment of Fines Act No 101 of 1991, or to both the fine and imprisonment.</w:t>
                        </w:r>
                      </w:p>
                      <w:p w:rsidR="007A1962" w:rsidRDefault="007A1962" w:rsidP="00537A68">
                        <w:pPr>
                          <w:suppressAutoHyphens/>
                          <w:spacing w:line="100" w:lineRule="atLeast"/>
                          <w:rPr>
                            <w:rFonts w:asciiTheme="minorHAnsi" w:eastAsia="Times New Roman" w:hAnsiTheme="minorHAnsi" w:cs="Arial"/>
                            <w:lang w:val="en-ZA" w:bidi="en-US"/>
                          </w:rPr>
                        </w:pPr>
                      </w:p>
                      <w:p w:rsidR="00873911" w:rsidRDefault="007A1962" w:rsidP="00537A68">
                        <w:pPr>
                          <w:suppressAutoHyphens/>
                          <w:spacing w:line="100" w:lineRule="atLeast"/>
                          <w:rPr>
                            <w:rFonts w:asciiTheme="minorHAnsi" w:eastAsia="Times New Roman" w:hAnsiTheme="minorHAnsi" w:cs="Arial"/>
                            <w:lang w:val="en-ZA" w:bidi="en-US"/>
                          </w:rPr>
                        </w:pPr>
                        <w:r>
                          <w:rPr>
                            <w:rFonts w:asciiTheme="minorHAnsi" w:eastAsia="Times New Roman" w:hAnsiTheme="minorHAnsi" w:cs="Arial"/>
                            <w:lang w:val="en-ZA" w:bidi="en-US"/>
                          </w:rPr>
                          <w:t>If you look at the above you will realise that punishment for contravention is more severe than in the past.</w:t>
                        </w:r>
                        <w:r w:rsidR="00873911">
                          <w:rPr>
                            <w:rFonts w:asciiTheme="minorHAnsi" w:eastAsia="Times New Roman" w:hAnsiTheme="minorHAnsi" w:cs="Arial"/>
                            <w:lang w:val="en-ZA" w:bidi="en-US"/>
                          </w:rPr>
                          <w:t xml:space="preserve"> The punishment have been aligned with other legislation –in this case the Adjustment of Fines Act No 101 of 1991.  One thus cannot say that the punishment is too severe or unfair.</w:t>
                        </w:r>
                      </w:p>
                      <w:p w:rsidR="00873911" w:rsidRDefault="00873911" w:rsidP="00537A68">
                        <w:pPr>
                          <w:suppressAutoHyphens/>
                          <w:spacing w:line="100" w:lineRule="atLeast"/>
                          <w:rPr>
                            <w:rFonts w:asciiTheme="minorHAnsi" w:eastAsia="Times New Roman" w:hAnsiTheme="minorHAnsi" w:cs="Arial"/>
                            <w:lang w:val="en-ZA" w:bidi="en-US"/>
                          </w:rPr>
                        </w:pPr>
                      </w:p>
                      <w:p w:rsidR="00DB3CA0" w:rsidRDefault="00873911" w:rsidP="00537A68">
                        <w:pPr>
                          <w:suppressAutoHyphens/>
                          <w:spacing w:line="100" w:lineRule="atLeast"/>
                          <w:rPr>
                            <w:lang w:val="en-GB"/>
                          </w:rPr>
                        </w:pPr>
                        <w:r>
                          <w:rPr>
                            <w:rFonts w:asciiTheme="minorHAnsi" w:eastAsia="Times New Roman" w:hAnsiTheme="minorHAnsi" w:cs="Arial"/>
                            <w:lang w:val="en-ZA" w:bidi="en-US"/>
                          </w:rPr>
                          <w:t xml:space="preserve">It is a feature of South Africa’s new Customs legislation that it is aligned to international instruments as well as other South African legislation.  The Customs Control Act serves as a platform form many other South African acts dealing with imports and exports and the collection of taxes.  Chapter 37 of the Customs Control Act was recently amended by aligning it with the Tax Administration </w:t>
                        </w:r>
                        <w:r w:rsidR="005D0247">
                          <w:rPr>
                            <w:rFonts w:asciiTheme="minorHAnsi" w:eastAsia="Times New Roman" w:hAnsiTheme="minorHAnsi" w:cs="Arial"/>
                            <w:lang w:val="en-ZA" w:bidi="en-US"/>
                          </w:rPr>
                          <w:t>Act.</w:t>
                        </w:r>
                      </w:p>
                    </w:tc>
                    <w:tc>
                      <w:tcPr>
                        <w:tcW w:w="197" w:type="dxa"/>
                        <w:vAlign w:val="center"/>
                        <w:hideMark/>
                      </w:tcPr>
                      <w:p w:rsidR="00DB3CA0" w:rsidRDefault="00DB3CA0">
                        <w:pPr>
                          <w:spacing w:before="150" w:after="75" w:line="255" w:lineRule="atLeast"/>
                          <w:ind w:right="147"/>
                          <w:jc w:val="both"/>
                          <w:rPr>
                            <w:lang w:val="en-GB"/>
                          </w:rPr>
                        </w:pPr>
                        <w:r>
                          <w:rPr>
                            <w:lang w:val="en-GB"/>
                          </w:rPr>
                          <w:lastRenderedPageBreak/>
                          <w:t> </w:t>
                        </w:r>
                      </w:p>
                    </w:tc>
                  </w:tr>
                  <w:tr w:rsidR="00DB3CA0" w:rsidTr="00537A68">
                    <w:trPr>
                      <w:tblCellSpacing w:w="0" w:type="dxa"/>
                      <w:jc w:val="center"/>
                    </w:trPr>
                    <w:tc>
                      <w:tcPr>
                        <w:tcW w:w="11081" w:type="dxa"/>
                        <w:gridSpan w:val="3"/>
                        <w:hideMark/>
                      </w:tcPr>
                      <w:p w:rsidR="00DB3CA0" w:rsidRDefault="00DB3CA0">
                        <w:pPr>
                          <w:spacing w:line="252" w:lineRule="auto"/>
                          <w:rPr>
                            <w:lang w:val="en-GB"/>
                          </w:rPr>
                        </w:pPr>
                        <w:r>
                          <w:rPr>
                            <w:lang w:val="en-GB"/>
                          </w:rPr>
                          <w:lastRenderedPageBreak/>
                          <w:t> </w:t>
                        </w:r>
                      </w:p>
                    </w:tc>
                    <w:tc>
                      <w:tcPr>
                        <w:tcW w:w="197" w:type="dxa"/>
                        <w:vAlign w:val="center"/>
                        <w:hideMark/>
                      </w:tcPr>
                      <w:p w:rsidR="00DB3CA0" w:rsidRDefault="00DB3CA0">
                        <w:pPr>
                          <w:spacing w:line="276" w:lineRule="auto"/>
                          <w:rPr>
                            <w:lang w:val="en-GB"/>
                          </w:rPr>
                        </w:pPr>
                        <w:r>
                          <w:rPr>
                            <w:lang w:val="en-GB"/>
                          </w:rPr>
                          <w:t> </w:t>
                        </w:r>
                      </w:p>
                    </w:tc>
                  </w:tr>
                  <w:tr w:rsidR="00DB3CA0" w:rsidTr="00537A68">
                    <w:trPr>
                      <w:trHeight w:val="435"/>
                      <w:tblCellSpacing w:w="0" w:type="dxa"/>
                      <w:jc w:val="center"/>
                    </w:trPr>
                    <w:tc>
                      <w:tcPr>
                        <w:tcW w:w="11081" w:type="dxa"/>
                        <w:gridSpan w:val="3"/>
                        <w:shd w:val="clear" w:color="auto" w:fill="FF0000"/>
                        <w:vAlign w:val="center"/>
                        <w:hideMark/>
                      </w:tcPr>
                      <w:p w:rsidR="00DB3CA0" w:rsidRDefault="00DB3CA0">
                        <w:pPr>
                          <w:spacing w:line="276" w:lineRule="auto"/>
                          <w:rPr>
                            <w:lang w:val="en-GB"/>
                          </w:rPr>
                        </w:pPr>
                        <w:r>
                          <w:rPr>
                            <w:color w:val="FFFFFF"/>
                            <w:sz w:val="32"/>
                            <w:szCs w:val="32"/>
                            <w:shd w:val="clear" w:color="auto" w:fill="FF0000"/>
                            <w:lang w:val="en-GB"/>
                          </w:rPr>
                          <w:t>Customs Tariff Applications</w:t>
                        </w:r>
                        <w:r>
                          <w:rPr>
                            <w:color w:val="FFFFFF"/>
                            <w:sz w:val="32"/>
                            <w:szCs w:val="32"/>
                            <w:lang w:val="en-GB"/>
                          </w:rPr>
                          <w:t> and Outstanding Tariff Amendments</w:t>
                        </w:r>
                      </w:p>
                    </w:tc>
                    <w:tc>
                      <w:tcPr>
                        <w:tcW w:w="197" w:type="dxa"/>
                        <w:vAlign w:val="center"/>
                        <w:hideMark/>
                      </w:tcPr>
                      <w:p w:rsidR="00DB3CA0" w:rsidRDefault="00DB3CA0">
                        <w:pPr>
                          <w:spacing w:line="276" w:lineRule="auto"/>
                          <w:rPr>
                            <w:lang w:val="en-GB"/>
                          </w:rPr>
                        </w:pPr>
                        <w:r>
                          <w:rPr>
                            <w:lang w:val="en-GB"/>
                          </w:rPr>
                          <w:t> </w:t>
                        </w:r>
                      </w:p>
                    </w:tc>
                  </w:tr>
                  <w:tr w:rsidR="00DB3CA0" w:rsidTr="00537A68">
                    <w:trPr>
                      <w:tblCellSpacing w:w="0" w:type="dxa"/>
                      <w:jc w:val="center"/>
                    </w:trPr>
                    <w:tc>
                      <w:tcPr>
                        <w:tcW w:w="11081" w:type="dxa"/>
                        <w:gridSpan w:val="3"/>
                        <w:hideMark/>
                      </w:tcPr>
                      <w:p w:rsidR="00DB3CA0" w:rsidRDefault="00DB3CA0">
                        <w:pPr>
                          <w:spacing w:line="252" w:lineRule="auto"/>
                          <w:rPr>
                            <w:lang w:val="en-GB"/>
                          </w:rPr>
                        </w:pPr>
                        <w:r>
                          <w:rPr>
                            <w:rFonts w:ascii="Times New Roman" w:hAnsi="Times New Roman"/>
                            <w:sz w:val="20"/>
                            <w:szCs w:val="20"/>
                            <w:lang w:val="en-GB"/>
                          </w:rPr>
                          <w:t> </w:t>
                        </w:r>
                      </w:p>
                    </w:tc>
                    <w:tc>
                      <w:tcPr>
                        <w:tcW w:w="197" w:type="dxa"/>
                        <w:vAlign w:val="center"/>
                        <w:hideMark/>
                      </w:tcPr>
                      <w:p w:rsidR="00DB3CA0" w:rsidRDefault="00DB3CA0">
                        <w:pPr>
                          <w:spacing w:line="276" w:lineRule="auto"/>
                          <w:rPr>
                            <w:lang w:val="en-GB"/>
                          </w:rPr>
                        </w:pPr>
                        <w:r>
                          <w:rPr>
                            <w:lang w:val="en-GB"/>
                          </w:rPr>
                          <w:t> </w:t>
                        </w:r>
                      </w:p>
                    </w:tc>
                  </w:tr>
                  <w:tr w:rsidR="00DB3CA0" w:rsidTr="00537A68">
                    <w:trPr>
                      <w:trHeight w:val="284"/>
                      <w:tblCellSpacing w:w="0" w:type="dxa"/>
                      <w:jc w:val="center"/>
                    </w:trPr>
                    <w:tc>
                      <w:tcPr>
                        <w:tcW w:w="5438" w:type="dxa"/>
                        <w:hideMark/>
                      </w:tcPr>
                      <w:p w:rsidR="00DB3CA0" w:rsidRDefault="00DB3CA0">
                        <w:pPr>
                          <w:spacing w:before="120" w:after="75" w:line="255" w:lineRule="atLeast"/>
                          <w:ind w:right="147"/>
                          <w:jc w:val="both"/>
                          <w:rPr>
                            <w:lang w:val="en-GB"/>
                          </w:rPr>
                        </w:pPr>
                        <w:r>
                          <w:rPr>
                            <w:i/>
                            <w:iCs/>
                            <w:lang w:val="en-GB"/>
                          </w:rPr>
                          <w:t xml:space="preserve">The International Trade Administration Commission </w:t>
                        </w:r>
                        <w:r>
                          <w:rPr>
                            <w:rStyle w:val="Hyperlink"/>
                            <w:i/>
                            <w:iCs/>
                            <w:color w:val="auto"/>
                            <w:u w:val="none"/>
                            <w:lang w:val="en-GB"/>
                          </w:rPr>
                          <w:t>(</w:t>
                        </w:r>
                        <w:hyperlink r:id="rId25" w:history="1">
                          <w:r>
                            <w:rPr>
                              <w:rStyle w:val="Hyperlink"/>
                              <w:i/>
                              <w:iCs/>
                              <w:color w:val="939598"/>
                              <w:u w:val="none"/>
                              <w:lang w:val="en-GB"/>
                            </w:rPr>
                            <w:t>ITAC</w:t>
                          </w:r>
                        </w:hyperlink>
                        <w:r>
                          <w:rPr>
                            <w:i/>
                            <w:iCs/>
                            <w:lang w:val="en-GB"/>
                          </w:rPr>
                          <w:t>) is responsible for tariff investigations, amendments, and trade remedies in South Africa and on behalf of SACU.</w:t>
                        </w:r>
                      </w:p>
                      <w:p w:rsidR="00DB3CA0" w:rsidRDefault="00DB3CA0">
                        <w:pPr>
                          <w:spacing w:before="120" w:after="75" w:line="255" w:lineRule="atLeast"/>
                          <w:ind w:right="147"/>
                          <w:jc w:val="both"/>
                          <w:rPr>
                            <w:lang w:val="en-GB"/>
                          </w:rPr>
                        </w:pPr>
                        <w:r>
                          <w:rPr>
                            <w:b/>
                            <w:bCs/>
                            <w:i/>
                            <w:iCs/>
                            <w:lang w:val="en-GB"/>
                          </w:rPr>
                          <w:t>Tariff investigations include:</w:t>
                        </w:r>
                        <w:r>
                          <w:rPr>
                            <w:i/>
                            <w:iCs/>
                            <w:lang w:val="en-GB"/>
                          </w:rPr>
                          <w:t xml:space="preserve"> Increases in the customs duty rates in Schedule No. 1 Part 1 of Jacobsens. These applications apply to all the SACU Countries, and, if amended, thus have the potential to affect the import duty rates in Botswana, Lesotho, Namibia, Swaziland and South Africa.</w:t>
                        </w:r>
                      </w:p>
                      <w:p w:rsidR="00DB3CA0" w:rsidRDefault="00DB3CA0">
                        <w:pPr>
                          <w:spacing w:before="120" w:after="75" w:line="255" w:lineRule="atLeast"/>
                          <w:ind w:right="147"/>
                          <w:jc w:val="both"/>
                          <w:rPr>
                            <w:lang w:val="en-GB"/>
                          </w:rPr>
                        </w:pPr>
                        <w:r>
                          <w:rPr>
                            <w:i/>
                            <w:iCs/>
                            <w:lang w:val="en-GB"/>
                          </w:rPr>
                          <w:t>Reductions in the customs duty rates in Schedule No. 1 Part 1. These applications apply to all the SACU Countries, and, if amended, thus have the potential to affect the import duty rates in Botswana, Lesotho, Namibia, Swaziland and South Africa.</w:t>
                        </w:r>
                      </w:p>
                      <w:p w:rsidR="00DB3CA0" w:rsidRDefault="00DB3CA0">
                        <w:pPr>
                          <w:spacing w:before="120" w:after="75" w:line="255" w:lineRule="atLeast"/>
                          <w:ind w:right="147"/>
                          <w:jc w:val="both"/>
                          <w:rPr>
                            <w:lang w:val="en-GB"/>
                          </w:rPr>
                        </w:pPr>
                        <w:r>
                          <w:rPr>
                            <w:i/>
                            <w:iCs/>
                            <w:lang w:val="en-GB"/>
                          </w:rPr>
                          <w:t>Rebates of duty on products, available in the Southern African Customs Union (SACU), for use in the manufacture of goods, as published in Schedule No. 3 Part 1, and in Schedule No. 4 of Jacobsens. Schedule No. 3 Part 1 and Schedule No. 4, are identical in all the SACU Countries.</w:t>
                        </w:r>
                      </w:p>
                      <w:p w:rsidR="00DB3CA0" w:rsidRDefault="00DB3CA0">
                        <w:pPr>
                          <w:spacing w:before="120" w:after="75" w:line="255" w:lineRule="atLeast"/>
                          <w:ind w:right="147"/>
                          <w:jc w:val="both"/>
                          <w:rPr>
                            <w:lang w:val="en-GB"/>
                          </w:rPr>
                        </w:pPr>
                        <w:r>
                          <w:rPr>
                            <w:i/>
                            <w:iCs/>
                            <w:lang w:val="en-GB"/>
                          </w:rPr>
                          <w:t>Rebates of duty on inputs used in the manufacture of goods for export, as published in Schedule No. 3 Part 2 and in item 470.00. These provisions apply to all the SACU Countries.</w:t>
                        </w:r>
                      </w:p>
                      <w:p w:rsidR="00DB3CA0" w:rsidRDefault="00DB3CA0">
                        <w:pPr>
                          <w:spacing w:before="120" w:after="75" w:line="255" w:lineRule="atLeast"/>
                          <w:ind w:right="147"/>
                          <w:jc w:val="both"/>
                          <w:rPr>
                            <w:lang w:val="en-GB"/>
                          </w:rPr>
                        </w:pPr>
                        <w:r>
                          <w:rPr>
                            <w:i/>
                            <w:iCs/>
                            <w:lang w:val="en-GB"/>
                          </w:rPr>
                          <w:t>Refunds of duties and drawbacks of duties as provided for in Schedule No. 5. These provisions are identical in the all the SACU Countries.</w:t>
                        </w:r>
                      </w:p>
                      <w:p w:rsidR="00DB3CA0" w:rsidRDefault="00DB3CA0">
                        <w:pPr>
                          <w:spacing w:before="120" w:after="75" w:line="255" w:lineRule="atLeast"/>
                          <w:ind w:right="147"/>
                          <w:jc w:val="both"/>
                          <w:rPr>
                            <w:lang w:val="en-GB"/>
                          </w:rPr>
                        </w:pPr>
                        <w:r>
                          <w:rPr>
                            <w:b/>
                            <w:bCs/>
                            <w:i/>
                            <w:iCs/>
                            <w:lang w:val="en-GB"/>
                          </w:rPr>
                          <w:t>Trade remedies include:</w:t>
                        </w:r>
                        <w:r>
                          <w:rPr>
                            <w:i/>
                            <w:iCs/>
                            <w:lang w:val="en-GB"/>
                          </w:rPr>
                          <w:t xml:space="preserve"> Anti-dumping duties (in Schedule No. 2 Part 1 of Jacobsens), countervailing duties to counteract subsidisation in foreign countries (in Schedule No. 2 Part 2), and safeguard duties (Schedule No. 2 Part 3), which are imposed as measures when a surge of imports is threatening to overwhelm a domestic producer, in accordance with domestic law and regulations and consistent with WTO rules.</w:t>
                        </w:r>
                      </w:p>
                      <w:p w:rsidR="00DB3CA0" w:rsidRDefault="00DB3CA0">
                        <w:pPr>
                          <w:spacing w:before="120" w:after="75" w:line="255" w:lineRule="atLeast"/>
                          <w:ind w:right="147"/>
                          <w:jc w:val="both"/>
                          <w:rPr>
                            <w:lang w:val="en-GB"/>
                          </w:rPr>
                        </w:pPr>
                        <w:r>
                          <w:rPr>
                            <w:b/>
                            <w:bCs/>
                            <w:i/>
                            <w:iCs/>
                            <w:lang w:val="en-GB"/>
                          </w:rPr>
                          <w:t>Dumping</w:t>
                        </w:r>
                        <w:r>
                          <w:rPr>
                            <w:i/>
                            <w:iCs/>
                            <w:lang w:val="en-GB"/>
                          </w:rPr>
                          <w:t xml:space="preserve"> is defined as a situation where imported goods </w:t>
                        </w:r>
                        <w:r>
                          <w:rPr>
                            <w:i/>
                            <w:iCs/>
                            <w:lang w:val="en-GB"/>
                          </w:rPr>
                          <w:lastRenderedPageBreak/>
                          <w:t>are being sold at prices lower than in the country of origin, and also causing financial injury to domestic producers of such goods. In other words, there should be a demonstrated causal link between the dumping and the injury experienced.</w:t>
                        </w:r>
                      </w:p>
                      <w:p w:rsidR="00DB3CA0" w:rsidRDefault="00DB3CA0">
                        <w:pPr>
                          <w:spacing w:before="150" w:after="75" w:line="255" w:lineRule="atLeast"/>
                          <w:ind w:right="147"/>
                          <w:jc w:val="both"/>
                          <w:rPr>
                            <w:lang w:val="en-GB"/>
                          </w:rPr>
                        </w:pPr>
                        <w:r>
                          <w:rPr>
                            <w:i/>
                            <w:iCs/>
                            <w:lang w:val="en-GB"/>
                          </w:rPr>
                          <w:t>To remedy such unfair pricing, ITAC may, at times, recommend the imposition of substantial duties on imports or duties that are equivalent to the dumping margin (or to the margin of injury, if this margin is lower).</w:t>
                        </w:r>
                      </w:p>
                      <w:p w:rsidR="00DB3CA0" w:rsidRDefault="00DB3CA0">
                        <w:pPr>
                          <w:spacing w:before="150" w:after="75" w:line="255" w:lineRule="atLeast"/>
                          <w:ind w:right="147"/>
                          <w:jc w:val="both"/>
                          <w:rPr>
                            <w:lang w:val="en-GB"/>
                          </w:rPr>
                        </w:pPr>
                        <w:r>
                          <w:rPr>
                            <w:b/>
                            <w:bCs/>
                            <w:i/>
                            <w:iCs/>
                            <w:lang w:val="en-GB"/>
                          </w:rPr>
                          <w:t>Countervailing investigations </w:t>
                        </w:r>
                        <w:r>
                          <w:rPr>
                            <w:i/>
                            <w:iCs/>
                            <w:lang w:val="en-GB"/>
                          </w:rPr>
                          <w:t>are conducted to determine whether to impose countervailing duties to protect a domestic industry against the unfair trade practice of proven subsidised imports from foreign competitors that cause material injury to a domestic producer.</w:t>
                        </w:r>
                      </w:p>
                      <w:p w:rsidR="00DB3CA0" w:rsidRDefault="00DB3CA0">
                        <w:pPr>
                          <w:spacing w:before="150" w:after="75" w:line="255" w:lineRule="atLeast"/>
                          <w:ind w:right="147"/>
                          <w:jc w:val="both"/>
                          <w:rPr>
                            <w:lang w:val="en-GB"/>
                          </w:rPr>
                        </w:pPr>
                        <w:r>
                          <w:rPr>
                            <w:b/>
                            <w:bCs/>
                            <w:i/>
                            <w:iCs/>
                            <w:lang w:val="en-GB"/>
                          </w:rPr>
                          <w:t>Safeguard measures</w:t>
                        </w:r>
                        <w:r>
                          <w:rPr>
                            <w:i/>
                            <w:iCs/>
                            <w:lang w:val="en-GB"/>
                          </w:rPr>
                          <w:t>, can be introduced to protect a domestic industry against unforeseen and overwhelming foreign competition and not necessarily against unfair trade, like the previous two instruments.</w:t>
                        </w:r>
                      </w:p>
                    </w:tc>
                    <w:tc>
                      <w:tcPr>
                        <w:tcW w:w="5643" w:type="dxa"/>
                        <w:gridSpan w:val="2"/>
                        <w:hideMark/>
                      </w:tcPr>
                      <w:p w:rsidR="00DB3CA0" w:rsidRDefault="00DB3CA0">
                        <w:pPr>
                          <w:spacing w:before="150" w:after="75" w:line="255" w:lineRule="atLeast"/>
                          <w:ind w:right="147"/>
                          <w:jc w:val="both"/>
                          <w:rPr>
                            <w:lang w:val="en-GB"/>
                          </w:rPr>
                        </w:pPr>
                        <w:r>
                          <w:rPr>
                            <w:i/>
                            <w:iCs/>
                            <w:lang w:val="en-GB"/>
                          </w:rPr>
                          <w:lastRenderedPageBreak/>
                          <w:t>In the WTO system, a member may take a safeguard action, which is, restricting imports temporarily in the face of a sustained increase in imports that is causing serious injury to the domestic producer of like products. Safeguard measures are universally applied to all countries, unlike anti-dumping and countervailing duties that are aimed at a specific firm or country.</w:t>
                        </w:r>
                      </w:p>
                      <w:p w:rsidR="00DB3CA0" w:rsidRDefault="00DB3CA0">
                        <w:pPr>
                          <w:spacing w:before="150" w:after="75" w:line="255" w:lineRule="atLeast"/>
                          <w:ind w:right="147"/>
                          <w:jc w:val="both"/>
                          <w:rPr>
                            <w:lang w:val="en-GB"/>
                          </w:rPr>
                        </w:pPr>
                        <w:r>
                          <w:rPr>
                            <w:i/>
                            <w:iCs/>
                            <w:lang w:val="en-GB"/>
                          </w:rPr>
                          <w:t>Schedule No. 2 is identical in all the SACU Countries.</w:t>
                        </w:r>
                      </w:p>
                      <w:p w:rsidR="00DB3CA0" w:rsidRDefault="00DB3CA0">
                        <w:pPr>
                          <w:spacing w:before="150" w:after="75" w:line="255" w:lineRule="atLeast"/>
                          <w:ind w:right="147"/>
                          <w:jc w:val="both"/>
                          <w:rPr>
                            <w:lang w:val="en-GB"/>
                          </w:rPr>
                        </w:pPr>
                        <w:r>
                          <w:rPr>
                            <w:lang w:val="en-GB"/>
                          </w:rPr>
                          <w:t>The International Trade Administration Commission (ITAC) has published the second amendment applications to the Southern African Customs Union Tariff for 2015.</w:t>
                        </w:r>
                      </w:p>
                      <w:p w:rsidR="00DB3CA0" w:rsidRDefault="00DB3CA0">
                        <w:pPr>
                          <w:spacing w:before="150" w:after="75" w:line="255" w:lineRule="atLeast"/>
                          <w:ind w:right="147"/>
                          <w:jc w:val="both"/>
                          <w:rPr>
                            <w:lang w:val="en-GB"/>
                          </w:rPr>
                        </w:pPr>
                        <w:r>
                          <w:rPr>
                            <w:lang w:val="en-GB"/>
                          </w:rPr>
                          <w:t>The Southern African Customs Union comprises of South Africa and Botswana, Lesotho, Namibia and Swaziland.</w:t>
                        </w:r>
                      </w:p>
                      <w:p w:rsidR="00DB3CA0" w:rsidRDefault="00DB3CA0">
                        <w:pPr>
                          <w:spacing w:before="150" w:after="75" w:line="255" w:lineRule="atLeast"/>
                          <w:ind w:right="147"/>
                          <w:jc w:val="both"/>
                          <w:rPr>
                            <w:lang w:val="en-GB"/>
                          </w:rPr>
                        </w:pPr>
                        <w:r>
                          <w:rPr>
                            <w:lang w:val="en-GB"/>
                          </w:rPr>
                          <w:t xml:space="preserve">The Notice (Government Notice R.150 of 2015) was published in </w:t>
                        </w:r>
                        <w:r>
                          <w:rPr>
                            <w:i/>
                            <w:iCs/>
                            <w:lang w:val="en-GB"/>
                          </w:rPr>
                          <w:t>Government Gazette</w:t>
                        </w:r>
                        <w:r>
                          <w:rPr>
                            <w:lang w:val="en-GB"/>
                          </w:rPr>
                          <w:t xml:space="preserve"> 38478 on 20 February 2015.</w:t>
                        </w:r>
                      </w:p>
                      <w:p w:rsidR="00DB3CA0" w:rsidRDefault="00DB3CA0">
                        <w:pPr>
                          <w:spacing w:before="150" w:after="75" w:line="255" w:lineRule="atLeast"/>
                          <w:ind w:right="147"/>
                          <w:jc w:val="both"/>
                          <w:rPr>
                            <w:lang w:val="en-GB"/>
                          </w:rPr>
                        </w:pPr>
                        <w:r>
                          <w:rPr>
                            <w:i/>
                            <w:iCs/>
                            <w:lang w:val="en-GB"/>
                          </w:rPr>
                          <w:t>Comments are due by 20 March 2015.</w:t>
                        </w:r>
                      </w:p>
                      <w:p w:rsidR="00DB3CA0" w:rsidRDefault="00DB3CA0">
                        <w:pPr>
                          <w:spacing w:before="150" w:after="75" w:line="255" w:lineRule="atLeast"/>
                          <w:ind w:right="147"/>
                          <w:jc w:val="both"/>
                          <w:rPr>
                            <w:lang w:val="en-GB"/>
                          </w:rPr>
                        </w:pPr>
                        <w:r>
                          <w:rPr>
                            <w:lang w:val="en-GB"/>
                          </w:rPr>
                          <w:t>The application is in relation to amendments to Part 1 of Schedule No. 3.</w:t>
                        </w:r>
                      </w:p>
                      <w:p w:rsidR="00DB3CA0" w:rsidRDefault="00DB3CA0">
                        <w:pPr>
                          <w:spacing w:before="150" w:after="75" w:line="255" w:lineRule="atLeast"/>
                          <w:ind w:right="147"/>
                          <w:jc w:val="both"/>
                          <w:rPr>
                            <w:lang w:val="en-GB"/>
                          </w:rPr>
                        </w:pPr>
                        <w:r>
                          <w:rPr>
                            <w:lang w:val="en-GB"/>
                          </w:rPr>
                          <w:t>The application is entitled AMENDMENT OF THE WORDING FOR QUALIFYING FABRICS UNDER REBATE ITEM 320.01 FOR THE MANUFACTURE OF UPHOLSTERED FURNITURE.</w:t>
                        </w:r>
                      </w:p>
                      <w:p w:rsidR="00DB3CA0" w:rsidRDefault="00DB3CA0">
                        <w:pPr>
                          <w:spacing w:before="150" w:after="75" w:line="255" w:lineRule="atLeast"/>
                          <w:ind w:right="147"/>
                          <w:jc w:val="both"/>
                          <w:rPr>
                            <w:lang w:val="en-GB"/>
                          </w:rPr>
                        </w:pPr>
                        <w:r>
                          <w:rPr>
                            <w:lang w:val="en-GB"/>
                          </w:rPr>
                          <w:t>The amendment of the rebate description is proposed to read as follows:</w:t>
                        </w:r>
                      </w:p>
                      <w:p w:rsidR="00DB3CA0" w:rsidRDefault="00DB3CA0">
                        <w:pPr>
                          <w:spacing w:before="150" w:after="75" w:line="255" w:lineRule="atLeast"/>
                          <w:ind w:right="147"/>
                          <w:jc w:val="both"/>
                          <w:rPr>
                            <w:lang w:val="en-GB"/>
                          </w:rPr>
                        </w:pPr>
                        <w:r>
                          <w:rPr>
                            <w:lang w:val="en-GB"/>
                          </w:rPr>
                          <w:t xml:space="preserve">320.01/5407.61/01.06 Woven fabrics surface treated to resemble suede containing 85 % or more by mass of non-textured micro-fibre polyester filament yarns, of a mass exceeding 150g/m2 and of a width not exceeding 150 cm, in such quantities, at such times and subject to such conditions as the International Trade Administration Commission may allow by specific permit, for use in the manufacture of upholstered furniture classifiable in tariff heading 94.01.320.01/5903.20.90/01.08 Other textile fabrics </w:t>
                        </w:r>
                        <w:r>
                          <w:rPr>
                            <w:lang w:val="en-GB"/>
                          </w:rPr>
                          <w:lastRenderedPageBreak/>
                          <w:t>commonly known as imitation leather, laminated with polyurethane, in such quantities, at such times and subject to such conditions as the International Trade Administration Commission may allow by specific permit, for use in the manufacture of upholstered furniture classifiable in tariff heading 94.01</w:t>
                        </w:r>
                      </w:p>
                      <w:p w:rsidR="00DB3CA0" w:rsidRDefault="00DB3CA0">
                        <w:pPr>
                          <w:spacing w:before="150" w:after="75" w:line="255" w:lineRule="atLeast"/>
                          <w:ind w:right="147"/>
                          <w:jc w:val="both"/>
                          <w:rPr>
                            <w:lang w:val="en-GB"/>
                          </w:rPr>
                        </w:pPr>
                        <w:r>
                          <w:rPr>
                            <w:lang w:val="en-GB"/>
                          </w:rPr>
                          <w:t>320.01/5907.00.90/01.08 Textile fabrics commonly known as imitation leather backed with bonded leather, in such quantities, at such times and subject to such conditions as the International Trade Administration Commission may allow by specific permit, for use in the manufacture of upholstered furniture classifiable in tariff heading 94.01.</w:t>
                        </w:r>
                      </w:p>
                      <w:p w:rsidR="00DB3CA0" w:rsidRDefault="00DB3CA0">
                        <w:pPr>
                          <w:spacing w:before="150" w:after="75" w:line="255" w:lineRule="atLeast"/>
                          <w:ind w:right="147"/>
                          <w:jc w:val="both"/>
                          <w:rPr>
                            <w:lang w:val="en-GB"/>
                          </w:rPr>
                        </w:pPr>
                        <w:r>
                          <w:rPr>
                            <w:lang w:val="en-GB"/>
                          </w:rPr>
                          <w:t xml:space="preserve">[Enquiries: Ms. Khosi Mzinjana, Tel: (012) 394 3664. Fax: (012) 934 4664. E-mail: </w:t>
                        </w:r>
                        <w:hyperlink r:id="rId26" w:history="1">
                          <w:r w:rsidRPr="00537A68">
                            <w:rPr>
                              <w:rStyle w:val="Hyperlink"/>
                              <w:color w:val="939598"/>
                              <w:u w:val="none"/>
                              <w:lang w:val="en-GB"/>
                            </w:rPr>
                            <w:t>kmzinjana@itac.org.za</w:t>
                          </w:r>
                        </w:hyperlink>
                        <w:r>
                          <w:rPr>
                            <w:lang w:val="en-GB"/>
                          </w:rPr>
                          <w:t xml:space="preserve">. Ms. Amina Varachia, Tel: (012) 394 3732. Fax: (012) 934 4732. E-mail: </w:t>
                        </w:r>
                        <w:hyperlink r:id="rId27" w:history="1">
                          <w:r w:rsidRPr="00537A68">
                            <w:rPr>
                              <w:rStyle w:val="Hyperlink"/>
                              <w:color w:val="939598"/>
                              <w:u w:val="none"/>
                              <w:lang w:val="en-GB"/>
                            </w:rPr>
                            <w:t>avarachia@itac.org.za</w:t>
                          </w:r>
                        </w:hyperlink>
                        <w:r>
                          <w:rPr>
                            <w:lang w:val="en-GB"/>
                          </w:rPr>
                          <w:t>.</w:t>
                        </w:r>
                      </w:p>
                    </w:tc>
                    <w:tc>
                      <w:tcPr>
                        <w:tcW w:w="197" w:type="dxa"/>
                        <w:vAlign w:val="center"/>
                        <w:hideMark/>
                      </w:tcPr>
                      <w:p w:rsidR="00DB3CA0" w:rsidRDefault="00DB3CA0">
                        <w:pPr>
                          <w:spacing w:line="276" w:lineRule="auto"/>
                          <w:rPr>
                            <w:lang w:val="en-GB"/>
                          </w:rPr>
                        </w:pPr>
                        <w:r>
                          <w:rPr>
                            <w:lang w:val="en-GB"/>
                          </w:rPr>
                          <w:lastRenderedPageBreak/>
                          <w:t> </w:t>
                        </w:r>
                      </w:p>
                    </w:tc>
                  </w:tr>
                  <w:tr w:rsidR="00DB3CA0" w:rsidTr="00537A68">
                    <w:trPr>
                      <w:tblCellSpacing w:w="0" w:type="dxa"/>
                      <w:jc w:val="center"/>
                    </w:trPr>
                    <w:tc>
                      <w:tcPr>
                        <w:tcW w:w="5438" w:type="dxa"/>
                        <w:hideMark/>
                      </w:tcPr>
                      <w:p w:rsidR="00DB3CA0" w:rsidRDefault="00DB3CA0">
                        <w:pPr>
                          <w:spacing w:line="252" w:lineRule="auto"/>
                          <w:rPr>
                            <w:lang w:val="en-GB"/>
                          </w:rPr>
                        </w:pPr>
                        <w:r>
                          <w:rPr>
                            <w:lang w:val="en-GB"/>
                          </w:rPr>
                          <w:lastRenderedPageBreak/>
                          <w:t> </w:t>
                        </w:r>
                      </w:p>
                    </w:tc>
                    <w:tc>
                      <w:tcPr>
                        <w:tcW w:w="5643" w:type="dxa"/>
                        <w:gridSpan w:val="2"/>
                        <w:hideMark/>
                      </w:tcPr>
                      <w:p w:rsidR="00DB3CA0" w:rsidRDefault="00DB3CA0">
                        <w:pPr>
                          <w:spacing w:line="252" w:lineRule="auto"/>
                          <w:rPr>
                            <w:lang w:val="en-GB"/>
                          </w:rPr>
                        </w:pPr>
                        <w:r>
                          <w:rPr>
                            <w:lang w:val="en-GB"/>
                          </w:rPr>
                          <w:t> </w:t>
                        </w:r>
                      </w:p>
                    </w:tc>
                    <w:tc>
                      <w:tcPr>
                        <w:tcW w:w="197" w:type="dxa"/>
                        <w:vAlign w:val="center"/>
                        <w:hideMark/>
                      </w:tcPr>
                      <w:p w:rsidR="00DB3CA0" w:rsidRDefault="00DB3CA0">
                        <w:pPr>
                          <w:spacing w:line="276" w:lineRule="auto"/>
                          <w:rPr>
                            <w:lang w:val="en-GB"/>
                          </w:rPr>
                        </w:pPr>
                        <w:r>
                          <w:rPr>
                            <w:lang w:val="en-GB"/>
                          </w:rPr>
                          <w:t> </w:t>
                        </w:r>
                      </w:p>
                    </w:tc>
                  </w:tr>
                  <w:tr w:rsidR="00DB3CA0" w:rsidTr="00537A68">
                    <w:trPr>
                      <w:trHeight w:val="420"/>
                      <w:tblCellSpacing w:w="0" w:type="dxa"/>
                      <w:jc w:val="center"/>
                    </w:trPr>
                    <w:tc>
                      <w:tcPr>
                        <w:tcW w:w="11081" w:type="dxa"/>
                        <w:gridSpan w:val="3"/>
                        <w:shd w:val="clear" w:color="auto" w:fill="FF0000"/>
                        <w:vAlign w:val="center"/>
                        <w:hideMark/>
                      </w:tcPr>
                      <w:p w:rsidR="00DB3CA0" w:rsidRDefault="00DB3CA0">
                        <w:pPr>
                          <w:spacing w:line="276" w:lineRule="auto"/>
                          <w:rPr>
                            <w:lang w:val="en-GB"/>
                          </w:rPr>
                        </w:pPr>
                        <w:r>
                          <w:rPr>
                            <w:color w:val="FFFFFF"/>
                            <w:sz w:val="32"/>
                            <w:szCs w:val="32"/>
                            <w:lang w:val="en-GB"/>
                          </w:rPr>
                          <w:t>Customs Tariff Amendments</w:t>
                        </w:r>
                      </w:p>
                    </w:tc>
                    <w:tc>
                      <w:tcPr>
                        <w:tcW w:w="197" w:type="dxa"/>
                        <w:vAlign w:val="center"/>
                        <w:hideMark/>
                      </w:tcPr>
                      <w:p w:rsidR="00DB3CA0" w:rsidRDefault="00DB3CA0">
                        <w:pPr>
                          <w:spacing w:line="276" w:lineRule="auto"/>
                          <w:rPr>
                            <w:lang w:val="en-GB"/>
                          </w:rPr>
                        </w:pPr>
                        <w:r>
                          <w:rPr>
                            <w:lang w:val="en-GB"/>
                          </w:rPr>
                          <w:t> </w:t>
                        </w:r>
                      </w:p>
                    </w:tc>
                  </w:tr>
                  <w:tr w:rsidR="00DB3CA0" w:rsidTr="00537A68">
                    <w:trPr>
                      <w:trHeight w:val="1843"/>
                      <w:tblCellSpacing w:w="0" w:type="dxa"/>
                      <w:jc w:val="center"/>
                    </w:trPr>
                    <w:tc>
                      <w:tcPr>
                        <w:tcW w:w="5438" w:type="dxa"/>
                        <w:hideMark/>
                      </w:tcPr>
                      <w:p w:rsidR="00DB3CA0" w:rsidRDefault="00DB3CA0">
                        <w:pPr>
                          <w:spacing w:before="150" w:after="75" w:line="255" w:lineRule="atLeast"/>
                          <w:ind w:right="147"/>
                          <w:jc w:val="both"/>
                          <w:rPr>
                            <w:lang w:val="en-GB"/>
                          </w:rPr>
                        </w:pPr>
                        <w:r>
                          <w:rPr>
                            <w:i/>
                            <w:iCs/>
                            <w:lang w:val="en-GB"/>
                          </w:rPr>
                          <w:t>With the exception of certain parts of Schedule No. 1, such as Schedule No. 1 Part 2 (excise duties), Schedule No. 1 Part 3 (environmental levies) Schedule No. 1 Part 5 (fuel and road accident fund levies), the other parts of the tariff is amended by SARS based on recommendations made by ITAC resulting from the investigations relating to Customs Tariff Applications received by them. The ITAC then investigates and makes recommendations to the Minister of Trade and Industry, who requests the Minister of Finance to amend the Tariff in line with the ITAC’s recommendations. SARS is responsible for drafting the notices to amend the tariff, as well as for arranging for the publication of the notices in Government Gazettes.</w:t>
                        </w:r>
                      </w:p>
                      <w:p w:rsidR="00DB3CA0" w:rsidRDefault="00DB3CA0">
                        <w:pPr>
                          <w:spacing w:before="150" w:after="75" w:line="255" w:lineRule="atLeast"/>
                          <w:ind w:right="147"/>
                          <w:jc w:val="both"/>
                          <w:rPr>
                            <w:lang w:val="en-GB"/>
                          </w:rPr>
                        </w:pPr>
                        <w:r>
                          <w:rPr>
                            <w:i/>
                            <w:iCs/>
                            <w:lang w:val="en-GB"/>
                          </w:rPr>
                          <w:t>During the annual budget speech by the Minister of Finance in February, it was determined that parts of the tariff that are not amended resulting from ITAC recommendations, must be amended through proposals that are tabled by the Minister of Finance.</w:t>
                        </w:r>
                      </w:p>
                      <w:p w:rsidR="00DB3CA0" w:rsidRDefault="00DB3CA0">
                        <w:pPr>
                          <w:spacing w:before="150" w:after="75" w:line="255" w:lineRule="atLeast"/>
                          <w:ind w:right="147"/>
                          <w:jc w:val="both"/>
                          <w:rPr>
                            <w:lang w:val="en-GB"/>
                          </w:rPr>
                        </w:pPr>
                        <w:r>
                          <w:rPr>
                            <w:i/>
                            <w:iCs/>
                            <w:lang w:val="en-GB"/>
                          </w:rPr>
                          <w:t>Once a year big tariff amendments are published by SARS, which is in line with the commitments of South Africa and SACU under international trade agreements.</w:t>
                        </w:r>
                      </w:p>
                      <w:p w:rsidR="00DB3CA0" w:rsidRPr="00537A68" w:rsidRDefault="00DB3CA0" w:rsidP="00537A68">
                        <w:pPr>
                          <w:spacing w:before="150" w:after="75" w:line="255" w:lineRule="atLeast"/>
                          <w:ind w:right="147"/>
                          <w:jc w:val="both"/>
                          <w:rPr>
                            <w:lang w:val="en-GB"/>
                          </w:rPr>
                        </w:pPr>
                        <w:r>
                          <w:rPr>
                            <w:i/>
                            <w:iCs/>
                            <w:lang w:val="en-GB"/>
                          </w:rPr>
                          <w:t xml:space="preserve">Under these amendments, which are either published in November or early in December, the import duties on </w:t>
                        </w:r>
                        <w:r>
                          <w:rPr>
                            <w:i/>
                            <w:iCs/>
                            <w:lang w:val="en-GB"/>
                          </w:rPr>
                          <w:lastRenderedPageBreak/>
                          <w:t>goods are reduced under South Africa’s international trade commitments under existing trade agreements.</w:t>
                        </w:r>
                      </w:p>
                    </w:tc>
                    <w:tc>
                      <w:tcPr>
                        <w:tcW w:w="5643" w:type="dxa"/>
                        <w:gridSpan w:val="2"/>
                        <w:hideMark/>
                      </w:tcPr>
                      <w:p w:rsidR="00537A68" w:rsidRDefault="00537A68" w:rsidP="00537A68">
                        <w:pPr>
                          <w:spacing w:before="150" w:after="75" w:line="255" w:lineRule="atLeast"/>
                          <w:ind w:right="147"/>
                          <w:jc w:val="both"/>
                          <w:rPr>
                            <w:lang w:val="en-GB"/>
                          </w:rPr>
                        </w:pPr>
                        <w:r>
                          <w:rPr>
                            <w:lang w:val="en-GB"/>
                          </w:rPr>
                          <w:lastRenderedPageBreak/>
                          <w:t>There were a number of tariff amendments since last week.</w:t>
                        </w:r>
                      </w:p>
                      <w:p w:rsidR="00537A68" w:rsidRDefault="00537A68" w:rsidP="00537A68">
                        <w:pPr>
                          <w:spacing w:before="150" w:after="75" w:line="255" w:lineRule="atLeast"/>
                          <w:ind w:right="147"/>
                          <w:jc w:val="both"/>
                          <w:rPr>
                            <w:lang w:val="en-GB"/>
                          </w:rPr>
                        </w:pPr>
                        <w:r>
                          <w:rPr>
                            <w:lang w:val="en-GB"/>
                          </w:rPr>
                          <w:t xml:space="preserve">The amendments were published in the following </w:t>
                        </w:r>
                        <w:r w:rsidRPr="00537A68">
                          <w:rPr>
                            <w:i/>
                            <w:lang w:val="en-GB"/>
                          </w:rPr>
                          <w:t>Government Gazettes</w:t>
                        </w:r>
                        <w:r>
                          <w:rPr>
                            <w:lang w:val="en-GB"/>
                          </w:rPr>
                          <w:t>:</w:t>
                        </w:r>
                      </w:p>
                      <w:p w:rsidR="00537A68" w:rsidRDefault="005D0247" w:rsidP="00537A68">
                        <w:pPr>
                          <w:spacing w:before="150" w:after="75" w:line="255" w:lineRule="atLeast"/>
                          <w:ind w:right="147"/>
                          <w:jc w:val="both"/>
                          <w:rPr>
                            <w:lang w:val="en-GB"/>
                          </w:rPr>
                        </w:pPr>
                        <w:r>
                          <w:rPr>
                            <w:lang w:val="en-GB"/>
                          </w:rPr>
                          <w:t xml:space="preserve">The rates of duty on wheat and wheaten flour is increased from </w:t>
                        </w:r>
                        <w:r w:rsidRPr="00537A68">
                          <w:rPr>
                            <w:lang w:val="en-GB"/>
                          </w:rPr>
                          <w:t xml:space="preserve">15,7c/kg to 46,1c/kg and 23,5c/kg to 69,2c/kg respectively, in terms of the existing variable tariff formula </w:t>
                        </w:r>
                        <w:r>
                          <w:rPr>
                            <w:lang w:val="en-GB"/>
                          </w:rPr>
                          <w:t xml:space="preserve">as recommended in </w:t>
                        </w:r>
                        <w:r w:rsidRPr="00537A68">
                          <w:rPr>
                            <w:lang w:val="en-GB"/>
                          </w:rPr>
                          <w:t>ITAC Minute M09/2014</w:t>
                        </w:r>
                        <w:r w:rsidR="00DB3CA0" w:rsidRPr="00A506F5">
                          <w:rPr>
                            <w:lang w:val="en-GB"/>
                          </w:rPr>
                          <w:t xml:space="preserve"> </w:t>
                        </w:r>
                      </w:p>
                      <w:p w:rsidR="00DB3CA0" w:rsidRDefault="00DB3CA0" w:rsidP="00537A68">
                        <w:pPr>
                          <w:spacing w:before="150" w:after="75" w:line="255" w:lineRule="atLeast"/>
                          <w:ind w:right="147"/>
                          <w:jc w:val="both"/>
                          <w:rPr>
                            <w:lang w:val="en-GB"/>
                          </w:rPr>
                        </w:pPr>
                        <w:r>
                          <w:rPr>
                            <w:lang w:val="en-GB"/>
                          </w:rPr>
                          <w:t xml:space="preserve">The amendment was published in </w:t>
                        </w:r>
                        <w:r w:rsidRPr="00537A68">
                          <w:rPr>
                            <w:i/>
                            <w:lang w:val="en-GB"/>
                          </w:rPr>
                          <w:t>Government Gazette</w:t>
                        </w:r>
                        <w:r>
                          <w:rPr>
                            <w:lang w:val="en-GB"/>
                          </w:rPr>
                          <w:t xml:space="preserve"> 385</w:t>
                        </w:r>
                        <w:r w:rsidR="005D0247">
                          <w:rPr>
                            <w:lang w:val="en-GB"/>
                          </w:rPr>
                          <w:t>6</w:t>
                        </w:r>
                        <w:r>
                          <w:rPr>
                            <w:lang w:val="en-GB"/>
                          </w:rPr>
                          <w:t xml:space="preserve">3 of </w:t>
                        </w:r>
                        <w:r w:rsidR="005D0247">
                          <w:rPr>
                            <w:lang w:val="en-GB"/>
                          </w:rPr>
                          <w:t>13</w:t>
                        </w:r>
                        <w:r>
                          <w:rPr>
                            <w:lang w:val="en-GB"/>
                          </w:rPr>
                          <w:t xml:space="preserve"> March 2015 under Notice R. </w:t>
                        </w:r>
                        <w:r w:rsidR="00FB19EF">
                          <w:rPr>
                            <w:lang w:val="en-GB"/>
                          </w:rPr>
                          <w:t>209</w:t>
                        </w:r>
                        <w:r>
                          <w:rPr>
                            <w:lang w:val="en-GB"/>
                          </w:rPr>
                          <w:t>.</w:t>
                        </w:r>
                      </w:p>
                      <w:p w:rsidR="00DB3CA0" w:rsidRDefault="00DB3CA0">
                        <w:pPr>
                          <w:spacing w:before="150" w:after="75" w:line="255" w:lineRule="atLeast"/>
                          <w:ind w:right="147"/>
                          <w:jc w:val="both"/>
                          <w:rPr>
                            <w:lang w:val="en-GB"/>
                          </w:rPr>
                        </w:pPr>
                        <w:r>
                          <w:rPr>
                            <w:lang w:val="en-GB"/>
                          </w:rPr>
                          <w:t>The tariff amendment will be sent to subscribers under cover of Supplement 1044</w:t>
                        </w:r>
                      </w:p>
                      <w:p w:rsidR="00DB3CA0" w:rsidRDefault="001F7334">
                        <w:pPr>
                          <w:spacing w:before="150" w:after="75" w:line="255" w:lineRule="atLeast"/>
                          <w:ind w:right="147"/>
                          <w:jc w:val="both"/>
                          <w:rPr>
                            <w:lang w:val="en-GB"/>
                          </w:rPr>
                        </w:pPr>
                        <w:hyperlink r:id="rId28" w:history="1">
                          <w:r w:rsidR="00DB3CA0">
                            <w:rPr>
                              <w:rStyle w:val="Hyperlink"/>
                              <w:color w:val="939598"/>
                              <w:u w:val="none"/>
                              <w:lang w:val="en-GB"/>
                            </w:rPr>
                            <w:t>Download</w:t>
                          </w:r>
                        </w:hyperlink>
                        <w:r w:rsidR="00DB3CA0">
                          <w:rPr>
                            <w:lang w:val="en-GB"/>
                          </w:rPr>
                          <w:t> the two latest Customs Watch to have access to the latest tariff amendments.</w:t>
                        </w:r>
                      </w:p>
                    </w:tc>
                    <w:tc>
                      <w:tcPr>
                        <w:tcW w:w="197" w:type="dxa"/>
                        <w:vAlign w:val="center"/>
                        <w:hideMark/>
                      </w:tcPr>
                      <w:p w:rsidR="00DB3CA0" w:rsidRDefault="00DB3CA0">
                        <w:pPr>
                          <w:spacing w:line="252" w:lineRule="auto"/>
                          <w:rPr>
                            <w:lang w:val="en-GB"/>
                          </w:rPr>
                        </w:pPr>
                        <w:r>
                          <w:rPr>
                            <w:lang w:val="en-GB"/>
                          </w:rPr>
                          <w:t> </w:t>
                        </w:r>
                      </w:p>
                    </w:tc>
                  </w:tr>
                  <w:tr w:rsidR="00DB3CA0" w:rsidTr="00537A68">
                    <w:trPr>
                      <w:trHeight w:val="435"/>
                      <w:tblCellSpacing w:w="0" w:type="dxa"/>
                      <w:jc w:val="center"/>
                    </w:trPr>
                    <w:tc>
                      <w:tcPr>
                        <w:tcW w:w="11081" w:type="dxa"/>
                        <w:gridSpan w:val="3"/>
                        <w:shd w:val="clear" w:color="auto" w:fill="FF0000"/>
                        <w:vAlign w:val="center"/>
                        <w:hideMark/>
                      </w:tcPr>
                      <w:p w:rsidR="00DB3CA0" w:rsidRDefault="00DB3CA0">
                        <w:pPr>
                          <w:spacing w:line="276" w:lineRule="auto"/>
                          <w:rPr>
                            <w:lang w:val="en-GB"/>
                          </w:rPr>
                        </w:pPr>
                        <w:r>
                          <w:rPr>
                            <w:color w:val="FFFFFF"/>
                            <w:sz w:val="32"/>
                            <w:szCs w:val="32"/>
                            <w:lang w:val="en-GB"/>
                          </w:rPr>
                          <w:lastRenderedPageBreak/>
                          <w:t>Customs Rule Amendments</w:t>
                        </w:r>
                      </w:p>
                    </w:tc>
                    <w:tc>
                      <w:tcPr>
                        <w:tcW w:w="197" w:type="dxa"/>
                        <w:vAlign w:val="center"/>
                        <w:hideMark/>
                      </w:tcPr>
                      <w:p w:rsidR="00DB3CA0" w:rsidRDefault="00DB3CA0">
                        <w:pPr>
                          <w:spacing w:line="276" w:lineRule="auto"/>
                          <w:rPr>
                            <w:lang w:val="en-GB"/>
                          </w:rPr>
                        </w:pPr>
                        <w:r>
                          <w:rPr>
                            <w:lang w:val="en-GB"/>
                          </w:rPr>
                          <w:t> </w:t>
                        </w:r>
                      </w:p>
                    </w:tc>
                  </w:tr>
                  <w:tr w:rsidR="00DB3CA0" w:rsidTr="00537A68">
                    <w:trPr>
                      <w:tblCellSpacing w:w="0" w:type="dxa"/>
                      <w:jc w:val="center"/>
                    </w:trPr>
                    <w:tc>
                      <w:tcPr>
                        <w:tcW w:w="5438" w:type="dxa"/>
                        <w:hideMark/>
                      </w:tcPr>
                      <w:p w:rsidR="00DB3CA0" w:rsidRDefault="00DB3CA0">
                        <w:pPr>
                          <w:spacing w:before="150" w:after="75" w:line="255" w:lineRule="atLeast"/>
                          <w:ind w:right="147"/>
                          <w:jc w:val="both"/>
                          <w:rPr>
                            <w:lang w:val="en-GB"/>
                          </w:rPr>
                        </w:pPr>
                        <w:r>
                          <w:rPr>
                            <w:i/>
                            <w:iCs/>
                            <w:lang w:val="en-GB"/>
                          </w:rPr>
                          <w:t>The Customs and Excise Act is amended by the Minister of Finance. Certain provisions of the Act are supported by Customs and Excise Rules, which are prescribed by the Commission of SARS. These provisions are numbered in accordance with the sections of the Act. The rules are more user-friendly than the Act, and help to define provisions which would otherwise be unclear and difficult to interpret.</w:t>
                        </w:r>
                      </w:p>
                      <w:p w:rsidR="00537A68" w:rsidRDefault="00DB3CA0" w:rsidP="00537A68">
                        <w:pPr>
                          <w:spacing w:before="150" w:after="75" w:line="255" w:lineRule="atLeast"/>
                          <w:ind w:right="147"/>
                          <w:jc w:val="both"/>
                          <w:rPr>
                            <w:i/>
                            <w:iCs/>
                            <w:lang w:val="en-GB"/>
                          </w:rPr>
                        </w:pPr>
                        <w:r>
                          <w:rPr>
                            <w:i/>
                            <w:iCs/>
                            <w:lang w:val="en-GB"/>
                          </w:rPr>
                          <w:t> Forms are also prescribed by rule, and are published in the Schedule to the Rules. </w:t>
                        </w:r>
                      </w:p>
                      <w:p w:rsidR="00DB3CA0" w:rsidRDefault="00537A68">
                        <w:pPr>
                          <w:spacing w:before="150" w:after="75" w:line="255" w:lineRule="atLeast"/>
                          <w:ind w:right="147"/>
                          <w:jc w:val="both"/>
                          <w:rPr>
                            <w:lang w:val="en-GB"/>
                          </w:rPr>
                        </w:pPr>
                        <w:r>
                          <w:rPr>
                            <w:i/>
                            <w:iCs/>
                            <w:lang w:val="en-GB"/>
                          </w:rPr>
                          <w:t>Forms are also prescribed by rule, and are published in the Schedule to the Rules. </w:t>
                        </w:r>
                      </w:p>
                    </w:tc>
                    <w:tc>
                      <w:tcPr>
                        <w:tcW w:w="5643" w:type="dxa"/>
                        <w:gridSpan w:val="2"/>
                        <w:hideMark/>
                      </w:tcPr>
                      <w:p w:rsidR="00DB3CA0" w:rsidRDefault="00DB3CA0">
                        <w:pPr>
                          <w:spacing w:before="150" w:after="75" w:line="255" w:lineRule="atLeast"/>
                          <w:ind w:right="147"/>
                          <w:jc w:val="both"/>
                          <w:rPr>
                            <w:lang w:val="en-GB"/>
                          </w:rPr>
                        </w:pPr>
                        <w:r w:rsidRPr="00A506F5">
                          <w:rPr>
                            <w:lang w:val="en-GB"/>
                          </w:rPr>
                          <w:t>The rules under sections 59A and 60 have been amended in that persons who may apply for registration or licensing must now include a public officer appointed in terms of section 246 of the Tax Administration Act, 2011.  This is in line with SARS’ efforts to align Customs legislation with the Tax Administration Act.</w:t>
                        </w:r>
                      </w:p>
                      <w:p w:rsidR="00DB3CA0" w:rsidRDefault="00DB3CA0">
                        <w:pPr>
                          <w:spacing w:before="150" w:after="75" w:line="255" w:lineRule="atLeast"/>
                          <w:ind w:right="147"/>
                          <w:jc w:val="both"/>
                          <w:rPr>
                            <w:lang w:val="en-GB"/>
                          </w:rPr>
                        </w:pPr>
                        <w:r>
                          <w:rPr>
                            <w:lang w:val="en-GB"/>
                          </w:rPr>
                          <w:t>The rule amendment (DAR/141) was published on 6 March 2015 in 38521 under Notice R. 178.</w:t>
                        </w:r>
                      </w:p>
                      <w:p w:rsidR="00DB3CA0" w:rsidRDefault="001F7334">
                        <w:pPr>
                          <w:spacing w:line="252" w:lineRule="auto"/>
                          <w:rPr>
                            <w:lang w:val="en-GB"/>
                          </w:rPr>
                        </w:pPr>
                        <w:hyperlink r:id="rId29" w:history="1">
                          <w:r w:rsidR="00DB3CA0">
                            <w:rPr>
                              <w:rStyle w:val="Hyperlink"/>
                              <w:color w:val="939598"/>
                              <w:u w:val="none"/>
                              <w:lang w:val="en-GB"/>
                            </w:rPr>
                            <w:t>Download</w:t>
                          </w:r>
                        </w:hyperlink>
                        <w:r w:rsidR="00DB3CA0">
                          <w:rPr>
                            <w:rStyle w:val="Hyperlink"/>
                            <w:color w:val="939598"/>
                            <w:u w:val="none"/>
                            <w:lang w:val="en-GB"/>
                          </w:rPr>
                          <w:t> </w:t>
                        </w:r>
                        <w:r w:rsidR="00DB3CA0">
                          <w:rPr>
                            <w:lang w:val="en-GB"/>
                          </w:rPr>
                          <w:t>the latest Customs Watch to have access to the latest tariff and rule amendments.</w:t>
                        </w:r>
                      </w:p>
                    </w:tc>
                    <w:tc>
                      <w:tcPr>
                        <w:tcW w:w="197" w:type="dxa"/>
                        <w:vAlign w:val="center"/>
                        <w:hideMark/>
                      </w:tcPr>
                      <w:p w:rsidR="00DB3CA0" w:rsidRDefault="00DB3CA0">
                        <w:pPr>
                          <w:spacing w:line="276" w:lineRule="auto"/>
                          <w:rPr>
                            <w:lang w:val="en-GB"/>
                          </w:rPr>
                        </w:pPr>
                        <w:r>
                          <w:rPr>
                            <w:lang w:val="en-GB"/>
                          </w:rPr>
                          <w:t> </w:t>
                        </w:r>
                      </w:p>
                    </w:tc>
                  </w:tr>
                  <w:tr w:rsidR="00DB3CA0" w:rsidTr="00537A68">
                    <w:trPr>
                      <w:tblCellSpacing w:w="0" w:type="dxa"/>
                      <w:jc w:val="center"/>
                    </w:trPr>
                    <w:tc>
                      <w:tcPr>
                        <w:tcW w:w="5438" w:type="dxa"/>
                        <w:vAlign w:val="center"/>
                        <w:hideMark/>
                      </w:tcPr>
                      <w:p w:rsidR="00DB3CA0" w:rsidRDefault="00DB3CA0">
                        <w:pPr>
                          <w:spacing w:line="252" w:lineRule="auto"/>
                          <w:rPr>
                            <w:lang w:val="en-GB"/>
                          </w:rPr>
                        </w:pPr>
                        <w:r>
                          <w:rPr>
                            <w:rFonts w:ascii="Times New Roman" w:hAnsi="Times New Roman"/>
                            <w:sz w:val="20"/>
                            <w:szCs w:val="20"/>
                            <w:lang w:val="en-GB"/>
                          </w:rPr>
                          <w:t> </w:t>
                        </w:r>
                      </w:p>
                    </w:tc>
                    <w:tc>
                      <w:tcPr>
                        <w:tcW w:w="253" w:type="dxa"/>
                        <w:vAlign w:val="center"/>
                        <w:hideMark/>
                      </w:tcPr>
                      <w:p w:rsidR="00DB3CA0" w:rsidRDefault="00DB3CA0">
                        <w:pPr>
                          <w:spacing w:line="252" w:lineRule="auto"/>
                          <w:rPr>
                            <w:lang w:val="en-GB"/>
                          </w:rPr>
                        </w:pPr>
                        <w:r>
                          <w:rPr>
                            <w:rFonts w:ascii="Times New Roman" w:hAnsi="Times New Roman"/>
                            <w:sz w:val="20"/>
                            <w:szCs w:val="20"/>
                            <w:lang w:val="en-GB"/>
                          </w:rPr>
                          <w:t> </w:t>
                        </w:r>
                      </w:p>
                    </w:tc>
                    <w:tc>
                      <w:tcPr>
                        <w:tcW w:w="5390" w:type="dxa"/>
                        <w:vAlign w:val="center"/>
                        <w:hideMark/>
                      </w:tcPr>
                      <w:p w:rsidR="00DB3CA0" w:rsidRDefault="00DB3CA0">
                        <w:pPr>
                          <w:spacing w:line="252" w:lineRule="auto"/>
                          <w:rPr>
                            <w:lang w:val="en-GB"/>
                          </w:rPr>
                        </w:pPr>
                        <w:r>
                          <w:rPr>
                            <w:rFonts w:ascii="Times New Roman" w:hAnsi="Times New Roman"/>
                            <w:sz w:val="20"/>
                            <w:szCs w:val="20"/>
                            <w:lang w:val="en-GB"/>
                          </w:rPr>
                          <w:t> </w:t>
                        </w:r>
                      </w:p>
                    </w:tc>
                    <w:tc>
                      <w:tcPr>
                        <w:tcW w:w="197" w:type="dxa"/>
                        <w:vAlign w:val="center"/>
                        <w:hideMark/>
                      </w:tcPr>
                      <w:p w:rsidR="00DB3CA0" w:rsidRDefault="00DB3CA0">
                        <w:pPr>
                          <w:spacing w:line="252" w:lineRule="auto"/>
                          <w:rPr>
                            <w:lang w:val="en-GB"/>
                          </w:rPr>
                        </w:pPr>
                        <w:r>
                          <w:rPr>
                            <w:lang w:val="en-GB"/>
                          </w:rPr>
                          <w:t> </w:t>
                        </w:r>
                      </w:p>
                    </w:tc>
                  </w:tr>
                </w:tbl>
                <w:p w:rsidR="00DB3CA0" w:rsidRDefault="00DB3CA0">
                  <w:pPr>
                    <w:spacing w:line="255" w:lineRule="atLeast"/>
                    <w:jc w:val="center"/>
                    <w:rPr>
                      <w:lang w:val="en-GB"/>
                    </w:rPr>
                  </w:pPr>
                  <w:r>
                    <w:rPr>
                      <w:lang w:val="en-GB"/>
                    </w:rPr>
                    <w:t> </w:t>
                  </w:r>
                  <w:r>
                    <w:rPr>
                      <w:noProof/>
                    </w:rPr>
                    <w:drawing>
                      <wp:inline distT="0" distB="0" distL="0" distR="0" wp14:anchorId="030EC3B6" wp14:editId="6876C8A6">
                        <wp:extent cx="7143750" cy="1428750"/>
                        <wp:effectExtent l="0" t="0" r="0" b="0"/>
                        <wp:docPr id="5" name="Picture 5" descr="cid:image010.png@01D051DC.2BA3B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id:image010.png@01D051DC.2BA3BB7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7143750" cy="1428750"/>
                                </a:xfrm>
                                <a:prstGeom prst="rect">
                                  <a:avLst/>
                                </a:prstGeom>
                                <a:noFill/>
                                <a:ln>
                                  <a:noFill/>
                                </a:ln>
                              </pic:spPr>
                            </pic:pic>
                          </a:graphicData>
                        </a:graphic>
                      </wp:inline>
                    </w:drawing>
                  </w:r>
                </w:p>
              </w:tc>
            </w:tr>
          </w:tbl>
          <w:p w:rsidR="00DB3CA0" w:rsidRDefault="00DB3CA0">
            <w:pPr>
              <w:jc w:val="center"/>
              <w:rPr>
                <w:rFonts w:ascii="Times New Roman" w:eastAsia="Times New Roman" w:hAnsi="Times New Roman"/>
                <w:sz w:val="20"/>
                <w:szCs w:val="20"/>
              </w:rPr>
            </w:pPr>
          </w:p>
        </w:tc>
      </w:tr>
      <w:tr w:rsidR="00DB3CA0" w:rsidTr="00537A68">
        <w:trPr>
          <w:tblCellSpacing w:w="0" w:type="dxa"/>
          <w:jc w:val="center"/>
        </w:trPr>
        <w:tc>
          <w:tcPr>
            <w:tcW w:w="0" w:type="auto"/>
            <w:shd w:val="clear" w:color="auto" w:fill="FFFFFF"/>
            <w:tcMar>
              <w:top w:w="0" w:type="dxa"/>
              <w:left w:w="300" w:type="dxa"/>
              <w:bottom w:w="0" w:type="dxa"/>
              <w:right w:w="300" w:type="dxa"/>
            </w:tcMar>
            <w:vAlign w:val="center"/>
          </w:tcPr>
          <w:p w:rsidR="00DB3CA0" w:rsidRDefault="00DB3CA0">
            <w:pPr>
              <w:jc w:val="center"/>
              <w:rPr>
                <w:sz w:val="24"/>
                <w:szCs w:val="24"/>
                <w:lang w:val="en-GB"/>
              </w:rPr>
            </w:pPr>
          </w:p>
        </w:tc>
      </w:tr>
    </w:tbl>
    <w:p w:rsidR="00DB3CA0" w:rsidRDefault="00DB3CA0" w:rsidP="00DB3CA0">
      <w:pPr>
        <w:rPr>
          <w:lang w:val="en-GB"/>
        </w:rPr>
      </w:pPr>
    </w:p>
    <w:p w:rsidR="00DB3CA0" w:rsidRDefault="00DB3CA0" w:rsidP="00DB3CA0">
      <w:pPr>
        <w:rPr>
          <w:lang w:val="en-GB"/>
        </w:rPr>
      </w:pPr>
    </w:p>
    <w:p w:rsidR="00DB3CA0" w:rsidRDefault="00DB3CA0" w:rsidP="00DB3CA0">
      <w:pPr>
        <w:rPr>
          <w:color w:val="262626"/>
          <w:lang w:eastAsia="en-ZA"/>
        </w:rPr>
      </w:pPr>
      <w:r>
        <w:rPr>
          <w:color w:val="262626"/>
          <w:lang w:eastAsia="en-ZA"/>
        </w:rPr>
        <w:t>Kind regards</w:t>
      </w:r>
    </w:p>
    <w:p w:rsidR="00DB3CA0" w:rsidRDefault="00DB3CA0" w:rsidP="00DB3CA0">
      <w:pPr>
        <w:rPr>
          <w:color w:val="262626"/>
          <w:lang w:eastAsia="en-ZA"/>
        </w:rPr>
      </w:pPr>
      <w:r>
        <w:rPr>
          <w:color w:val="262626"/>
          <w:lang w:eastAsia="en-ZA"/>
        </w:rPr>
        <w:t>. . . . . . . . . . . . . . . . . . . . . . . . . . . . . . . . . . . . . . . . . . . . . . . .</w:t>
      </w:r>
    </w:p>
    <w:p w:rsidR="00DB3CA0" w:rsidRDefault="00DB3CA0" w:rsidP="00DB3CA0">
      <w:pPr>
        <w:rPr>
          <w:b/>
          <w:bCs/>
          <w:color w:val="FF0000"/>
          <w:lang w:eastAsia="en-ZA"/>
        </w:rPr>
      </w:pPr>
    </w:p>
    <w:p w:rsidR="00DB3CA0" w:rsidRDefault="00DB3CA0" w:rsidP="00DB3CA0">
      <w:pPr>
        <w:rPr>
          <w:color w:val="FF0000"/>
          <w:lang w:eastAsia="en-ZA"/>
        </w:rPr>
      </w:pPr>
      <w:r>
        <w:rPr>
          <w:color w:val="FF0000"/>
          <w:lang w:eastAsia="en-ZA"/>
        </w:rPr>
        <w:t>Mayuri Govender</w:t>
      </w:r>
    </w:p>
    <w:p w:rsidR="00DB3CA0" w:rsidRDefault="00DB3CA0" w:rsidP="00DB3CA0">
      <w:pPr>
        <w:rPr>
          <w:color w:val="000000"/>
          <w:lang w:eastAsia="en-ZA"/>
        </w:rPr>
      </w:pPr>
      <w:r>
        <w:rPr>
          <w:color w:val="000000"/>
          <w:lang w:eastAsia="en-ZA"/>
        </w:rPr>
        <w:lastRenderedPageBreak/>
        <w:t xml:space="preserve">Editor: Jacobsens, Butterworths Business Contracts </w:t>
      </w:r>
    </w:p>
    <w:p w:rsidR="00DB3CA0" w:rsidRDefault="00DB3CA0" w:rsidP="00DB3CA0">
      <w:pPr>
        <w:rPr>
          <w:color w:val="000000"/>
          <w:lang w:eastAsia="en-ZA"/>
        </w:rPr>
      </w:pPr>
      <w:r>
        <w:rPr>
          <w:color w:val="000000"/>
          <w:lang w:eastAsia="en-ZA"/>
        </w:rPr>
        <w:t>Compendium &amp; Butterworths Forms &amp; Precedents</w:t>
      </w:r>
    </w:p>
    <w:p w:rsidR="00DB3CA0" w:rsidRDefault="00DB3CA0" w:rsidP="00DB3CA0">
      <w:pPr>
        <w:rPr>
          <w:color w:val="000000"/>
          <w:lang w:eastAsia="en-ZA"/>
        </w:rPr>
      </w:pPr>
      <w:r>
        <w:rPr>
          <w:color w:val="000000"/>
          <w:lang w:eastAsia="en-ZA"/>
        </w:rPr>
        <w:t>Tax, Financial Services &amp; Major Works</w:t>
      </w:r>
    </w:p>
    <w:p w:rsidR="00DB3CA0" w:rsidRDefault="00DB3CA0" w:rsidP="00DB3CA0">
      <w:pPr>
        <w:rPr>
          <w:color w:val="595959"/>
          <w:lang w:eastAsia="en-ZA"/>
        </w:rPr>
      </w:pPr>
      <w:r>
        <w:rPr>
          <w:color w:val="595959"/>
          <w:lang w:eastAsia="en-ZA"/>
        </w:rPr>
        <w:t>LexisNexis</w:t>
      </w:r>
    </w:p>
    <w:p w:rsidR="00DB3CA0" w:rsidRDefault="00DB3CA0" w:rsidP="00DB3CA0">
      <w:pPr>
        <w:rPr>
          <w:color w:val="595959"/>
          <w:lang w:eastAsia="en-ZA"/>
        </w:rPr>
      </w:pPr>
      <w:r>
        <w:rPr>
          <w:color w:val="595959"/>
          <w:lang w:eastAsia="en-ZA"/>
        </w:rPr>
        <w:t xml:space="preserve">215 Peter Mokaba (North Ridge) Road </w:t>
      </w:r>
    </w:p>
    <w:p w:rsidR="00DB3CA0" w:rsidRDefault="00DB3CA0" w:rsidP="00DB3CA0">
      <w:pPr>
        <w:rPr>
          <w:color w:val="595959"/>
          <w:lang w:eastAsia="en-ZA"/>
        </w:rPr>
      </w:pPr>
      <w:r>
        <w:rPr>
          <w:color w:val="595959"/>
          <w:lang w:eastAsia="en-ZA"/>
        </w:rPr>
        <w:t>Morningside</w:t>
      </w:r>
    </w:p>
    <w:p w:rsidR="00DB3CA0" w:rsidRDefault="00DB3CA0" w:rsidP="00DB3CA0">
      <w:pPr>
        <w:rPr>
          <w:b/>
          <w:bCs/>
          <w:color w:val="595959"/>
          <w:lang w:eastAsia="en-ZA"/>
        </w:rPr>
      </w:pPr>
      <w:r>
        <w:rPr>
          <w:color w:val="595959"/>
          <w:lang w:eastAsia="en-ZA"/>
        </w:rPr>
        <w:t>Durban, 4001</w:t>
      </w:r>
    </w:p>
    <w:p w:rsidR="00DB3CA0" w:rsidRDefault="00DB3CA0" w:rsidP="00DB3CA0">
      <w:pPr>
        <w:rPr>
          <w:lang w:eastAsia="en-ZA"/>
        </w:rPr>
      </w:pPr>
    </w:p>
    <w:p w:rsidR="00DB3CA0" w:rsidRDefault="001F7334" w:rsidP="00DB3CA0">
      <w:pPr>
        <w:rPr>
          <w:lang w:eastAsia="en-ZA"/>
        </w:rPr>
      </w:pPr>
      <w:hyperlink r:id="rId32" w:history="1">
        <w:r w:rsidR="00DB3CA0">
          <w:rPr>
            <w:rStyle w:val="Hyperlink"/>
            <w:lang w:eastAsia="en-ZA"/>
          </w:rPr>
          <w:t>mayuri.govender@lexisnexis.co.za</w:t>
        </w:r>
      </w:hyperlink>
    </w:p>
    <w:p w:rsidR="00DB3CA0" w:rsidRDefault="00DB3CA0" w:rsidP="00DB3CA0">
      <w:pPr>
        <w:rPr>
          <w:color w:val="595959"/>
          <w:lang w:eastAsia="en-ZA"/>
        </w:rPr>
      </w:pPr>
      <w:r>
        <w:rPr>
          <w:color w:val="595959"/>
          <w:lang w:eastAsia="en-ZA"/>
        </w:rPr>
        <w:t>+27 (0) 31 268 3273 Direct</w:t>
      </w:r>
    </w:p>
    <w:p w:rsidR="00DB3CA0" w:rsidRDefault="00DB3CA0" w:rsidP="00DB3CA0">
      <w:pPr>
        <w:rPr>
          <w:color w:val="595959"/>
          <w:lang w:eastAsia="en-ZA"/>
        </w:rPr>
      </w:pPr>
      <w:r>
        <w:rPr>
          <w:color w:val="595959"/>
          <w:lang w:eastAsia="en-ZA"/>
        </w:rPr>
        <w:t>+27 (0) 31 268 3114 Fax</w:t>
      </w:r>
    </w:p>
    <w:p w:rsidR="00DB3CA0" w:rsidRDefault="00DB3CA0" w:rsidP="00DB3CA0">
      <w:pPr>
        <w:rPr>
          <w:lang w:val="en-GB" w:eastAsia="en-ZA"/>
        </w:rPr>
      </w:pPr>
      <w:r>
        <w:rPr>
          <w:color w:val="939598"/>
          <w:lang w:val="en-ZA" w:eastAsia="en-ZA"/>
        </w:rPr>
        <w:br/>
      </w:r>
      <w:r>
        <w:rPr>
          <w:rFonts w:ascii="Times New Roman" w:hAnsi="Times New Roman"/>
          <w:noProof/>
          <w:color w:val="0000FF"/>
        </w:rPr>
        <w:drawing>
          <wp:inline distT="0" distB="0" distL="0" distR="0">
            <wp:extent cx="238125" cy="238125"/>
            <wp:effectExtent l="0" t="0" r="9525" b="9525"/>
            <wp:docPr id="4" name="Picture 4" descr="Description: Description: fb-icon">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fb-icon"/>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color w:val="6D6F71"/>
          <w:lang w:eastAsia="en-ZA"/>
        </w:rPr>
        <w:t xml:space="preserve">  </w:t>
      </w:r>
      <w:r>
        <w:rPr>
          <w:rFonts w:ascii="Times New Roman" w:hAnsi="Times New Roman"/>
          <w:noProof/>
          <w:color w:val="0000FF"/>
        </w:rPr>
        <w:drawing>
          <wp:inline distT="0" distB="0" distL="0" distR="0">
            <wp:extent cx="238125" cy="238125"/>
            <wp:effectExtent l="0" t="0" r="9525" b="9525"/>
            <wp:docPr id="3" name="Picture 3" descr="Description: Description: LinkedIn-icon">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LinkedIn-icon"/>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Pr>
          <w:color w:val="6D6F71"/>
          <w:lang w:eastAsia="en-ZA"/>
        </w:rPr>
        <w:t>  </w:t>
      </w:r>
      <w:r>
        <w:rPr>
          <w:rFonts w:ascii="Times New Roman" w:hAnsi="Times New Roman"/>
          <w:noProof/>
          <w:color w:val="0000FF"/>
        </w:rPr>
        <w:drawing>
          <wp:inline distT="0" distB="0" distL="0" distR="0">
            <wp:extent cx="238125" cy="238125"/>
            <wp:effectExtent l="0" t="0" r="9525" b="9525"/>
            <wp:docPr id="2" name="Picture 2" descr="Description: Description: twitter-icon">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twitter-icon"/>
                    <pic:cNvPicPr>
                      <a:picLocks noChangeAspect="1" noChangeArrowheads="1"/>
                    </pic:cNvPicPr>
                  </pic:nvPicPr>
                  <pic:blipFill>
                    <a:blip r:embed="rId40" r:link="rId4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p w:rsidR="00DB3CA0" w:rsidRDefault="00DB3CA0" w:rsidP="00DB3CA0">
      <w:pPr>
        <w:rPr>
          <w:color w:val="6D6F71"/>
          <w:lang w:eastAsia="en-ZA"/>
        </w:rPr>
      </w:pPr>
    </w:p>
    <w:p w:rsidR="00DB3CA0" w:rsidRDefault="00DB3CA0" w:rsidP="00DB3CA0">
      <w:pPr>
        <w:rPr>
          <w:color w:val="5F5F5F"/>
          <w:lang w:eastAsia="en-ZA"/>
        </w:rPr>
      </w:pPr>
      <w:r>
        <w:rPr>
          <w:color w:val="5F5F5F"/>
          <w:lang w:eastAsia="en-ZA"/>
        </w:rPr>
        <w:t xml:space="preserve">First in South Africa Practical Guidance from LexisNexis </w:t>
      </w:r>
    </w:p>
    <w:p w:rsidR="00DB3CA0" w:rsidRDefault="00DB3CA0" w:rsidP="00DB3CA0">
      <w:pPr>
        <w:rPr>
          <w:color w:val="5F5F5F"/>
          <w:lang w:eastAsia="en-ZA"/>
        </w:rPr>
      </w:pPr>
      <w:r>
        <w:rPr>
          <w:color w:val="5F5F5F"/>
          <w:lang w:eastAsia="en-ZA"/>
        </w:rPr>
        <w:t>Request a demo or sign up for your free trial by</w:t>
      </w:r>
      <w:r>
        <w:rPr>
          <w:color w:val="ED1C24"/>
          <w:lang w:eastAsia="en-ZA"/>
        </w:rPr>
        <w:t xml:space="preserve"> </w:t>
      </w:r>
      <w:hyperlink r:id="rId42" w:history="1">
        <w:r>
          <w:rPr>
            <w:rStyle w:val="Hyperlink"/>
            <w:color w:val="ED1C24"/>
            <w:lang w:eastAsia="en-ZA"/>
          </w:rPr>
          <w:t>clicking here</w:t>
        </w:r>
      </w:hyperlink>
    </w:p>
    <w:p w:rsidR="00DB3CA0" w:rsidRDefault="00DB3CA0" w:rsidP="00DB3CA0">
      <w:pPr>
        <w:rPr>
          <w:lang w:val="en-ZA" w:eastAsia="en-ZA"/>
        </w:rPr>
      </w:pPr>
      <w:r>
        <w:rPr>
          <w:noProof/>
          <w:color w:val="993366"/>
        </w:rPr>
        <w:drawing>
          <wp:inline distT="0" distB="0" distL="0" distR="0">
            <wp:extent cx="3495675" cy="523875"/>
            <wp:effectExtent l="0" t="0" r="9525" b="9525"/>
            <wp:docPr id="1" name="Picture 1" descr="Description: Description: Description: Description: cid:242404713@22102009-30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7" descr="Description: Description: Description: Description: cid:242404713@22102009-30D5"/>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3495675" cy="523875"/>
                    </a:xfrm>
                    <a:prstGeom prst="rect">
                      <a:avLst/>
                    </a:prstGeom>
                    <a:noFill/>
                    <a:ln>
                      <a:noFill/>
                    </a:ln>
                  </pic:spPr>
                </pic:pic>
              </a:graphicData>
            </a:graphic>
          </wp:inline>
        </w:drawing>
      </w:r>
      <w:bookmarkStart w:id="0" w:name="_GoBack"/>
      <w:bookmarkEnd w:id="0"/>
    </w:p>
    <w:p w:rsidR="00DB3CA0" w:rsidRDefault="00DB3CA0" w:rsidP="00DB3CA0">
      <w:pPr>
        <w:rPr>
          <w:lang w:val="en-GB"/>
        </w:rPr>
      </w:pPr>
    </w:p>
    <w:p w:rsidR="00A41087" w:rsidRDefault="00A41087"/>
    <w:sectPr w:rsidR="00A41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05449"/>
    <w:multiLevelType w:val="multilevel"/>
    <w:tmpl w:val="54301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B3176DB"/>
    <w:multiLevelType w:val="multilevel"/>
    <w:tmpl w:val="F9ACD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1507FD9"/>
    <w:multiLevelType w:val="hybridMultilevel"/>
    <w:tmpl w:val="DF2C5E1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993B74"/>
    <w:multiLevelType w:val="hybridMultilevel"/>
    <w:tmpl w:val="AA8C71C6"/>
    <w:lvl w:ilvl="0" w:tplc="CA7EC6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 Marais">
    <w15:presenceInfo w15:providerId="None" w15:userId="Leon Mara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CA0"/>
    <w:rsid w:val="00000236"/>
    <w:rsid w:val="000002E3"/>
    <w:rsid w:val="000022A1"/>
    <w:rsid w:val="00002685"/>
    <w:rsid w:val="0000269E"/>
    <w:rsid w:val="000027E7"/>
    <w:rsid w:val="0000457C"/>
    <w:rsid w:val="00004FD5"/>
    <w:rsid w:val="000078C9"/>
    <w:rsid w:val="00007DCF"/>
    <w:rsid w:val="00010ABB"/>
    <w:rsid w:val="00010B5A"/>
    <w:rsid w:val="00013D28"/>
    <w:rsid w:val="000154C2"/>
    <w:rsid w:val="0001558F"/>
    <w:rsid w:val="00017E8A"/>
    <w:rsid w:val="00021DC2"/>
    <w:rsid w:val="00022D81"/>
    <w:rsid w:val="00023B60"/>
    <w:rsid w:val="00024D84"/>
    <w:rsid w:val="00026FFC"/>
    <w:rsid w:val="000334DE"/>
    <w:rsid w:val="00034C47"/>
    <w:rsid w:val="000361C9"/>
    <w:rsid w:val="000367E7"/>
    <w:rsid w:val="00041E3E"/>
    <w:rsid w:val="00045828"/>
    <w:rsid w:val="000513D1"/>
    <w:rsid w:val="00053A35"/>
    <w:rsid w:val="000553FF"/>
    <w:rsid w:val="00055CF8"/>
    <w:rsid w:val="0005697D"/>
    <w:rsid w:val="000600E0"/>
    <w:rsid w:val="00060232"/>
    <w:rsid w:val="00060550"/>
    <w:rsid w:val="00060FF4"/>
    <w:rsid w:val="00062916"/>
    <w:rsid w:val="00073430"/>
    <w:rsid w:val="000745F5"/>
    <w:rsid w:val="0007581F"/>
    <w:rsid w:val="00075B3A"/>
    <w:rsid w:val="0007694C"/>
    <w:rsid w:val="00076D9D"/>
    <w:rsid w:val="0007724D"/>
    <w:rsid w:val="00077693"/>
    <w:rsid w:val="00080ABD"/>
    <w:rsid w:val="00081165"/>
    <w:rsid w:val="00082E5C"/>
    <w:rsid w:val="00082E64"/>
    <w:rsid w:val="00082E89"/>
    <w:rsid w:val="0008357B"/>
    <w:rsid w:val="0009019D"/>
    <w:rsid w:val="00091CDA"/>
    <w:rsid w:val="000937A1"/>
    <w:rsid w:val="000937B5"/>
    <w:rsid w:val="000A0FAC"/>
    <w:rsid w:val="000A2853"/>
    <w:rsid w:val="000B2004"/>
    <w:rsid w:val="000B3999"/>
    <w:rsid w:val="000B5AD7"/>
    <w:rsid w:val="000C12D2"/>
    <w:rsid w:val="000C19FE"/>
    <w:rsid w:val="000C29E8"/>
    <w:rsid w:val="000C5283"/>
    <w:rsid w:val="000C79E3"/>
    <w:rsid w:val="000D166B"/>
    <w:rsid w:val="000D3A35"/>
    <w:rsid w:val="000D455F"/>
    <w:rsid w:val="000D4CF8"/>
    <w:rsid w:val="000D6570"/>
    <w:rsid w:val="000D6B35"/>
    <w:rsid w:val="000E2D94"/>
    <w:rsid w:val="000E4742"/>
    <w:rsid w:val="000F0FB0"/>
    <w:rsid w:val="000F1485"/>
    <w:rsid w:val="000F17F3"/>
    <w:rsid w:val="00100FE5"/>
    <w:rsid w:val="001019E0"/>
    <w:rsid w:val="001032F1"/>
    <w:rsid w:val="00104EB4"/>
    <w:rsid w:val="00113B5F"/>
    <w:rsid w:val="0011519B"/>
    <w:rsid w:val="0011576D"/>
    <w:rsid w:val="0011590F"/>
    <w:rsid w:val="00115A0B"/>
    <w:rsid w:val="001162E7"/>
    <w:rsid w:val="00116DAB"/>
    <w:rsid w:val="001227EC"/>
    <w:rsid w:val="00123480"/>
    <w:rsid w:val="00124A91"/>
    <w:rsid w:val="00126055"/>
    <w:rsid w:val="001273D3"/>
    <w:rsid w:val="001303F2"/>
    <w:rsid w:val="00130E3D"/>
    <w:rsid w:val="00132BBA"/>
    <w:rsid w:val="0013308D"/>
    <w:rsid w:val="00134258"/>
    <w:rsid w:val="00135E5C"/>
    <w:rsid w:val="00136881"/>
    <w:rsid w:val="00137924"/>
    <w:rsid w:val="00141CC5"/>
    <w:rsid w:val="00141D50"/>
    <w:rsid w:val="00142DC2"/>
    <w:rsid w:val="001435E1"/>
    <w:rsid w:val="0014522F"/>
    <w:rsid w:val="00150090"/>
    <w:rsid w:val="00151896"/>
    <w:rsid w:val="00151FDB"/>
    <w:rsid w:val="00155CA4"/>
    <w:rsid w:val="0016273A"/>
    <w:rsid w:val="0016472D"/>
    <w:rsid w:val="00166CA4"/>
    <w:rsid w:val="00167DA2"/>
    <w:rsid w:val="00171AE9"/>
    <w:rsid w:val="00171B38"/>
    <w:rsid w:val="00172DBA"/>
    <w:rsid w:val="00175B1A"/>
    <w:rsid w:val="0018143E"/>
    <w:rsid w:val="0018192D"/>
    <w:rsid w:val="00181F20"/>
    <w:rsid w:val="00183FEF"/>
    <w:rsid w:val="00184B27"/>
    <w:rsid w:val="00185686"/>
    <w:rsid w:val="00185F33"/>
    <w:rsid w:val="00190173"/>
    <w:rsid w:val="001908D5"/>
    <w:rsid w:val="0019413D"/>
    <w:rsid w:val="00194CEC"/>
    <w:rsid w:val="00195111"/>
    <w:rsid w:val="001953A0"/>
    <w:rsid w:val="00196FC0"/>
    <w:rsid w:val="001978CA"/>
    <w:rsid w:val="00197CCC"/>
    <w:rsid w:val="001A0279"/>
    <w:rsid w:val="001A0A18"/>
    <w:rsid w:val="001A10DD"/>
    <w:rsid w:val="001A62BF"/>
    <w:rsid w:val="001A67CC"/>
    <w:rsid w:val="001B1819"/>
    <w:rsid w:val="001B1FFA"/>
    <w:rsid w:val="001B3FE2"/>
    <w:rsid w:val="001B4322"/>
    <w:rsid w:val="001C2425"/>
    <w:rsid w:val="001C479C"/>
    <w:rsid w:val="001D2B68"/>
    <w:rsid w:val="001D42B2"/>
    <w:rsid w:val="001D4BDB"/>
    <w:rsid w:val="001D55C0"/>
    <w:rsid w:val="001D57FB"/>
    <w:rsid w:val="001D6152"/>
    <w:rsid w:val="001D61CE"/>
    <w:rsid w:val="001D6846"/>
    <w:rsid w:val="001E2D46"/>
    <w:rsid w:val="001E32FF"/>
    <w:rsid w:val="001E42F2"/>
    <w:rsid w:val="001E45D4"/>
    <w:rsid w:val="001F001F"/>
    <w:rsid w:val="001F0F4A"/>
    <w:rsid w:val="001F453A"/>
    <w:rsid w:val="001F4959"/>
    <w:rsid w:val="001F569E"/>
    <w:rsid w:val="001F58E3"/>
    <w:rsid w:val="001F60BB"/>
    <w:rsid w:val="001F66CF"/>
    <w:rsid w:val="001F7334"/>
    <w:rsid w:val="00203C60"/>
    <w:rsid w:val="002042F2"/>
    <w:rsid w:val="00206635"/>
    <w:rsid w:val="00206804"/>
    <w:rsid w:val="002078FF"/>
    <w:rsid w:val="00207C1C"/>
    <w:rsid w:val="00210E9A"/>
    <w:rsid w:val="002132FE"/>
    <w:rsid w:val="00213AD8"/>
    <w:rsid w:val="00214055"/>
    <w:rsid w:val="00215A2D"/>
    <w:rsid w:val="002215F2"/>
    <w:rsid w:val="00225809"/>
    <w:rsid w:val="00227099"/>
    <w:rsid w:val="00235213"/>
    <w:rsid w:val="00235C34"/>
    <w:rsid w:val="00240E55"/>
    <w:rsid w:val="00241071"/>
    <w:rsid w:val="002436DB"/>
    <w:rsid w:val="00245B44"/>
    <w:rsid w:val="0025443D"/>
    <w:rsid w:val="00260A4F"/>
    <w:rsid w:val="00261105"/>
    <w:rsid w:val="00261B48"/>
    <w:rsid w:val="0026240C"/>
    <w:rsid w:val="002626A0"/>
    <w:rsid w:val="002634B5"/>
    <w:rsid w:val="0026374B"/>
    <w:rsid w:val="00263C7F"/>
    <w:rsid w:val="002644A0"/>
    <w:rsid w:val="0026628D"/>
    <w:rsid w:val="002675F9"/>
    <w:rsid w:val="00273AFF"/>
    <w:rsid w:val="00276111"/>
    <w:rsid w:val="00276139"/>
    <w:rsid w:val="002805DB"/>
    <w:rsid w:val="00281341"/>
    <w:rsid w:val="002942B2"/>
    <w:rsid w:val="0029515A"/>
    <w:rsid w:val="00295A37"/>
    <w:rsid w:val="00295DE2"/>
    <w:rsid w:val="002A0559"/>
    <w:rsid w:val="002A24A6"/>
    <w:rsid w:val="002A3ACF"/>
    <w:rsid w:val="002A3D3E"/>
    <w:rsid w:val="002A4B83"/>
    <w:rsid w:val="002A54CB"/>
    <w:rsid w:val="002A59C9"/>
    <w:rsid w:val="002A7A0E"/>
    <w:rsid w:val="002B0BDA"/>
    <w:rsid w:val="002B11CA"/>
    <w:rsid w:val="002B2547"/>
    <w:rsid w:val="002B3FFF"/>
    <w:rsid w:val="002B51FE"/>
    <w:rsid w:val="002B6818"/>
    <w:rsid w:val="002B6E93"/>
    <w:rsid w:val="002B6F4A"/>
    <w:rsid w:val="002C14CB"/>
    <w:rsid w:val="002C21D3"/>
    <w:rsid w:val="002C2497"/>
    <w:rsid w:val="002C6142"/>
    <w:rsid w:val="002D5276"/>
    <w:rsid w:val="002D5B6A"/>
    <w:rsid w:val="002D6B01"/>
    <w:rsid w:val="002D6C7A"/>
    <w:rsid w:val="002E00B6"/>
    <w:rsid w:val="002E0B2A"/>
    <w:rsid w:val="002E2F80"/>
    <w:rsid w:val="002E61C6"/>
    <w:rsid w:val="002E6314"/>
    <w:rsid w:val="002E6B98"/>
    <w:rsid w:val="002F268E"/>
    <w:rsid w:val="002F52E1"/>
    <w:rsid w:val="002F6982"/>
    <w:rsid w:val="002F6CEF"/>
    <w:rsid w:val="002F7663"/>
    <w:rsid w:val="003026EC"/>
    <w:rsid w:val="00302AFE"/>
    <w:rsid w:val="00303397"/>
    <w:rsid w:val="00306049"/>
    <w:rsid w:val="0030617B"/>
    <w:rsid w:val="00307A62"/>
    <w:rsid w:val="003137C2"/>
    <w:rsid w:val="00315AD9"/>
    <w:rsid w:val="003173D4"/>
    <w:rsid w:val="003200D0"/>
    <w:rsid w:val="00321206"/>
    <w:rsid w:val="003218CC"/>
    <w:rsid w:val="003258EE"/>
    <w:rsid w:val="00326A76"/>
    <w:rsid w:val="003309C5"/>
    <w:rsid w:val="0033294F"/>
    <w:rsid w:val="0033415E"/>
    <w:rsid w:val="00336CB6"/>
    <w:rsid w:val="0034034D"/>
    <w:rsid w:val="00342D39"/>
    <w:rsid w:val="003446AA"/>
    <w:rsid w:val="00346010"/>
    <w:rsid w:val="0035002A"/>
    <w:rsid w:val="00352255"/>
    <w:rsid w:val="0035289F"/>
    <w:rsid w:val="00352C7A"/>
    <w:rsid w:val="00354E07"/>
    <w:rsid w:val="00356BD1"/>
    <w:rsid w:val="003577E0"/>
    <w:rsid w:val="003614BA"/>
    <w:rsid w:val="0036223A"/>
    <w:rsid w:val="003634C2"/>
    <w:rsid w:val="0036404B"/>
    <w:rsid w:val="00364A73"/>
    <w:rsid w:val="00370615"/>
    <w:rsid w:val="00373CE1"/>
    <w:rsid w:val="00374F35"/>
    <w:rsid w:val="0037659C"/>
    <w:rsid w:val="00377C21"/>
    <w:rsid w:val="003803F5"/>
    <w:rsid w:val="00383A5A"/>
    <w:rsid w:val="00386DA2"/>
    <w:rsid w:val="00392E74"/>
    <w:rsid w:val="003934A0"/>
    <w:rsid w:val="00393F44"/>
    <w:rsid w:val="003A0931"/>
    <w:rsid w:val="003A0C50"/>
    <w:rsid w:val="003A34B4"/>
    <w:rsid w:val="003A5A46"/>
    <w:rsid w:val="003A5B33"/>
    <w:rsid w:val="003A5E94"/>
    <w:rsid w:val="003A726C"/>
    <w:rsid w:val="003B342A"/>
    <w:rsid w:val="003B529C"/>
    <w:rsid w:val="003B5563"/>
    <w:rsid w:val="003B7A62"/>
    <w:rsid w:val="003C0082"/>
    <w:rsid w:val="003C35D1"/>
    <w:rsid w:val="003C3A08"/>
    <w:rsid w:val="003C4A00"/>
    <w:rsid w:val="003C54D0"/>
    <w:rsid w:val="003C61A9"/>
    <w:rsid w:val="003D0DA9"/>
    <w:rsid w:val="003D1CFB"/>
    <w:rsid w:val="003D3118"/>
    <w:rsid w:val="003D3CFB"/>
    <w:rsid w:val="003D4B64"/>
    <w:rsid w:val="003D6572"/>
    <w:rsid w:val="003D662B"/>
    <w:rsid w:val="003D6FF8"/>
    <w:rsid w:val="003E5C73"/>
    <w:rsid w:val="003E70A3"/>
    <w:rsid w:val="003F02E8"/>
    <w:rsid w:val="003F1EAA"/>
    <w:rsid w:val="003F2CC1"/>
    <w:rsid w:val="003F3794"/>
    <w:rsid w:val="003F3AB4"/>
    <w:rsid w:val="003F5166"/>
    <w:rsid w:val="003F687E"/>
    <w:rsid w:val="003F7DEE"/>
    <w:rsid w:val="00401FEE"/>
    <w:rsid w:val="00404CEE"/>
    <w:rsid w:val="00410795"/>
    <w:rsid w:val="00410B4A"/>
    <w:rsid w:val="00410CE0"/>
    <w:rsid w:val="00415C39"/>
    <w:rsid w:val="004206B3"/>
    <w:rsid w:val="00421313"/>
    <w:rsid w:val="004215F8"/>
    <w:rsid w:val="00422298"/>
    <w:rsid w:val="004241A3"/>
    <w:rsid w:val="004263DE"/>
    <w:rsid w:val="004325AE"/>
    <w:rsid w:val="0043449D"/>
    <w:rsid w:val="004415C2"/>
    <w:rsid w:val="0044381E"/>
    <w:rsid w:val="004444F9"/>
    <w:rsid w:val="00451640"/>
    <w:rsid w:val="00453DD6"/>
    <w:rsid w:val="0045459B"/>
    <w:rsid w:val="00455C8C"/>
    <w:rsid w:val="0045677B"/>
    <w:rsid w:val="004602F3"/>
    <w:rsid w:val="00464EB9"/>
    <w:rsid w:val="00465EDA"/>
    <w:rsid w:val="00472567"/>
    <w:rsid w:val="00472A1E"/>
    <w:rsid w:val="00475D1F"/>
    <w:rsid w:val="00477A6B"/>
    <w:rsid w:val="00481B50"/>
    <w:rsid w:val="00481C6C"/>
    <w:rsid w:val="0049158D"/>
    <w:rsid w:val="004925D8"/>
    <w:rsid w:val="00494505"/>
    <w:rsid w:val="00494930"/>
    <w:rsid w:val="00495556"/>
    <w:rsid w:val="004A0005"/>
    <w:rsid w:val="004A4585"/>
    <w:rsid w:val="004A4FBF"/>
    <w:rsid w:val="004B07A2"/>
    <w:rsid w:val="004B531C"/>
    <w:rsid w:val="004B58B0"/>
    <w:rsid w:val="004B6D99"/>
    <w:rsid w:val="004B7407"/>
    <w:rsid w:val="004C235E"/>
    <w:rsid w:val="004C3610"/>
    <w:rsid w:val="004D05A3"/>
    <w:rsid w:val="004D141B"/>
    <w:rsid w:val="004D74DF"/>
    <w:rsid w:val="004D7F4F"/>
    <w:rsid w:val="004E0AB5"/>
    <w:rsid w:val="004E15C7"/>
    <w:rsid w:val="004E342F"/>
    <w:rsid w:val="004E7008"/>
    <w:rsid w:val="004F2115"/>
    <w:rsid w:val="004F380A"/>
    <w:rsid w:val="004F7048"/>
    <w:rsid w:val="00505603"/>
    <w:rsid w:val="0051013E"/>
    <w:rsid w:val="005123EF"/>
    <w:rsid w:val="005137CD"/>
    <w:rsid w:val="0051608C"/>
    <w:rsid w:val="005164DA"/>
    <w:rsid w:val="00521D66"/>
    <w:rsid w:val="005226B5"/>
    <w:rsid w:val="00522F69"/>
    <w:rsid w:val="00523308"/>
    <w:rsid w:val="00524D74"/>
    <w:rsid w:val="005252C4"/>
    <w:rsid w:val="00526188"/>
    <w:rsid w:val="005277D6"/>
    <w:rsid w:val="0052786A"/>
    <w:rsid w:val="0053224E"/>
    <w:rsid w:val="00534FF3"/>
    <w:rsid w:val="0053614D"/>
    <w:rsid w:val="00537A68"/>
    <w:rsid w:val="00543060"/>
    <w:rsid w:val="00543751"/>
    <w:rsid w:val="005438C6"/>
    <w:rsid w:val="005448BE"/>
    <w:rsid w:val="005452FD"/>
    <w:rsid w:val="0054730A"/>
    <w:rsid w:val="005474EF"/>
    <w:rsid w:val="00547CEC"/>
    <w:rsid w:val="00553BD6"/>
    <w:rsid w:val="00553FA8"/>
    <w:rsid w:val="00556127"/>
    <w:rsid w:val="00556E6C"/>
    <w:rsid w:val="005579B5"/>
    <w:rsid w:val="00560070"/>
    <w:rsid w:val="00562FBF"/>
    <w:rsid w:val="0056378C"/>
    <w:rsid w:val="00563A16"/>
    <w:rsid w:val="00564CA5"/>
    <w:rsid w:val="0056590E"/>
    <w:rsid w:val="00567C59"/>
    <w:rsid w:val="0057326D"/>
    <w:rsid w:val="00574BCF"/>
    <w:rsid w:val="00576011"/>
    <w:rsid w:val="00581372"/>
    <w:rsid w:val="00583A51"/>
    <w:rsid w:val="00584941"/>
    <w:rsid w:val="005877E9"/>
    <w:rsid w:val="00591738"/>
    <w:rsid w:val="00594A09"/>
    <w:rsid w:val="00596327"/>
    <w:rsid w:val="005A43A9"/>
    <w:rsid w:val="005A5EB6"/>
    <w:rsid w:val="005A65F7"/>
    <w:rsid w:val="005A66E3"/>
    <w:rsid w:val="005A756F"/>
    <w:rsid w:val="005B1AF1"/>
    <w:rsid w:val="005B2B56"/>
    <w:rsid w:val="005B30EB"/>
    <w:rsid w:val="005B4040"/>
    <w:rsid w:val="005B6988"/>
    <w:rsid w:val="005C2312"/>
    <w:rsid w:val="005C59B2"/>
    <w:rsid w:val="005C65BA"/>
    <w:rsid w:val="005C6722"/>
    <w:rsid w:val="005C7331"/>
    <w:rsid w:val="005D0247"/>
    <w:rsid w:val="005D04EE"/>
    <w:rsid w:val="005D1558"/>
    <w:rsid w:val="005D482F"/>
    <w:rsid w:val="005D4C92"/>
    <w:rsid w:val="005D6CD6"/>
    <w:rsid w:val="005D7FAB"/>
    <w:rsid w:val="005E1967"/>
    <w:rsid w:val="005E2039"/>
    <w:rsid w:val="005E3908"/>
    <w:rsid w:val="005E3A39"/>
    <w:rsid w:val="005E3E71"/>
    <w:rsid w:val="005E7268"/>
    <w:rsid w:val="005F02F5"/>
    <w:rsid w:val="005F0B3D"/>
    <w:rsid w:val="005F55CF"/>
    <w:rsid w:val="005F7711"/>
    <w:rsid w:val="005F7F99"/>
    <w:rsid w:val="006023D3"/>
    <w:rsid w:val="00602C82"/>
    <w:rsid w:val="00605297"/>
    <w:rsid w:val="00611107"/>
    <w:rsid w:val="00611DE5"/>
    <w:rsid w:val="00613114"/>
    <w:rsid w:val="00615293"/>
    <w:rsid w:val="00617352"/>
    <w:rsid w:val="00621416"/>
    <w:rsid w:val="00623B40"/>
    <w:rsid w:val="00624881"/>
    <w:rsid w:val="00625A5F"/>
    <w:rsid w:val="00640B2A"/>
    <w:rsid w:val="0064333C"/>
    <w:rsid w:val="00644E07"/>
    <w:rsid w:val="0064537A"/>
    <w:rsid w:val="006464C0"/>
    <w:rsid w:val="006470BE"/>
    <w:rsid w:val="006508FB"/>
    <w:rsid w:val="0065667E"/>
    <w:rsid w:val="0065771F"/>
    <w:rsid w:val="00663460"/>
    <w:rsid w:val="0066425B"/>
    <w:rsid w:val="006645AD"/>
    <w:rsid w:val="006649E4"/>
    <w:rsid w:val="00664CFB"/>
    <w:rsid w:val="00665E23"/>
    <w:rsid w:val="00670A1A"/>
    <w:rsid w:val="006725DF"/>
    <w:rsid w:val="00672738"/>
    <w:rsid w:val="0067274D"/>
    <w:rsid w:val="00675572"/>
    <w:rsid w:val="00675D71"/>
    <w:rsid w:val="00677D73"/>
    <w:rsid w:val="00682259"/>
    <w:rsid w:val="00682539"/>
    <w:rsid w:val="00682C6B"/>
    <w:rsid w:val="006840CE"/>
    <w:rsid w:val="00684D19"/>
    <w:rsid w:val="006909A6"/>
    <w:rsid w:val="00691ADB"/>
    <w:rsid w:val="00695646"/>
    <w:rsid w:val="0069585C"/>
    <w:rsid w:val="006A245A"/>
    <w:rsid w:val="006A2EB6"/>
    <w:rsid w:val="006A378C"/>
    <w:rsid w:val="006A49E9"/>
    <w:rsid w:val="006A54AA"/>
    <w:rsid w:val="006A69FF"/>
    <w:rsid w:val="006A72B2"/>
    <w:rsid w:val="006B09BC"/>
    <w:rsid w:val="006B3B5B"/>
    <w:rsid w:val="006B3B6B"/>
    <w:rsid w:val="006B6BD0"/>
    <w:rsid w:val="006C12B7"/>
    <w:rsid w:val="006C2D64"/>
    <w:rsid w:val="006C332D"/>
    <w:rsid w:val="006C3C63"/>
    <w:rsid w:val="006C3E0C"/>
    <w:rsid w:val="006C48FC"/>
    <w:rsid w:val="006C7CF3"/>
    <w:rsid w:val="006D068C"/>
    <w:rsid w:val="006D3985"/>
    <w:rsid w:val="006D3B4F"/>
    <w:rsid w:val="006D464A"/>
    <w:rsid w:val="006D57AA"/>
    <w:rsid w:val="006D6EA1"/>
    <w:rsid w:val="006E1664"/>
    <w:rsid w:val="006E169B"/>
    <w:rsid w:val="006E4634"/>
    <w:rsid w:val="006E6C82"/>
    <w:rsid w:val="006F1062"/>
    <w:rsid w:val="006F25E4"/>
    <w:rsid w:val="006F6D0B"/>
    <w:rsid w:val="00701A99"/>
    <w:rsid w:val="00704C18"/>
    <w:rsid w:val="0070515B"/>
    <w:rsid w:val="0070539B"/>
    <w:rsid w:val="00707AB6"/>
    <w:rsid w:val="00710631"/>
    <w:rsid w:val="007142FE"/>
    <w:rsid w:val="00714978"/>
    <w:rsid w:val="00716B52"/>
    <w:rsid w:val="00720849"/>
    <w:rsid w:val="0072234C"/>
    <w:rsid w:val="00727D2F"/>
    <w:rsid w:val="0073208F"/>
    <w:rsid w:val="00733102"/>
    <w:rsid w:val="00733C02"/>
    <w:rsid w:val="00735946"/>
    <w:rsid w:val="00737C0A"/>
    <w:rsid w:val="00744030"/>
    <w:rsid w:val="007448A2"/>
    <w:rsid w:val="00745D39"/>
    <w:rsid w:val="007473AB"/>
    <w:rsid w:val="00753087"/>
    <w:rsid w:val="007530B8"/>
    <w:rsid w:val="00754D74"/>
    <w:rsid w:val="007551DF"/>
    <w:rsid w:val="00761D16"/>
    <w:rsid w:val="007629C1"/>
    <w:rsid w:val="007649C4"/>
    <w:rsid w:val="00764AEB"/>
    <w:rsid w:val="00767363"/>
    <w:rsid w:val="00772B40"/>
    <w:rsid w:val="00774710"/>
    <w:rsid w:val="00775D7D"/>
    <w:rsid w:val="00777A25"/>
    <w:rsid w:val="0078348D"/>
    <w:rsid w:val="007860F1"/>
    <w:rsid w:val="007868A0"/>
    <w:rsid w:val="00787C6E"/>
    <w:rsid w:val="00791FE4"/>
    <w:rsid w:val="007956C2"/>
    <w:rsid w:val="00795BA0"/>
    <w:rsid w:val="007965DA"/>
    <w:rsid w:val="00797BCC"/>
    <w:rsid w:val="007A0231"/>
    <w:rsid w:val="007A1962"/>
    <w:rsid w:val="007A4FF8"/>
    <w:rsid w:val="007A6DDE"/>
    <w:rsid w:val="007B0E0F"/>
    <w:rsid w:val="007B34F3"/>
    <w:rsid w:val="007B4CCE"/>
    <w:rsid w:val="007B5AB6"/>
    <w:rsid w:val="007B6E3F"/>
    <w:rsid w:val="007C1AB1"/>
    <w:rsid w:val="007C2726"/>
    <w:rsid w:val="007C478C"/>
    <w:rsid w:val="007D1E11"/>
    <w:rsid w:val="007D6D81"/>
    <w:rsid w:val="007D7DCD"/>
    <w:rsid w:val="007E00DC"/>
    <w:rsid w:val="007E3005"/>
    <w:rsid w:val="007E3AB4"/>
    <w:rsid w:val="007E4B12"/>
    <w:rsid w:val="007E576B"/>
    <w:rsid w:val="007E5CAB"/>
    <w:rsid w:val="007E700F"/>
    <w:rsid w:val="007F0724"/>
    <w:rsid w:val="007F5090"/>
    <w:rsid w:val="007F77A2"/>
    <w:rsid w:val="008020C1"/>
    <w:rsid w:val="008027AB"/>
    <w:rsid w:val="00803269"/>
    <w:rsid w:val="008073BD"/>
    <w:rsid w:val="00815622"/>
    <w:rsid w:val="00815E88"/>
    <w:rsid w:val="008160FB"/>
    <w:rsid w:val="00816633"/>
    <w:rsid w:val="00817656"/>
    <w:rsid w:val="00817AE4"/>
    <w:rsid w:val="008232DD"/>
    <w:rsid w:val="00824FEF"/>
    <w:rsid w:val="00825299"/>
    <w:rsid w:val="008311BA"/>
    <w:rsid w:val="00837910"/>
    <w:rsid w:val="00843AF1"/>
    <w:rsid w:val="00843C6B"/>
    <w:rsid w:val="00844273"/>
    <w:rsid w:val="00852838"/>
    <w:rsid w:val="008528FA"/>
    <w:rsid w:val="00853F11"/>
    <w:rsid w:val="008545D1"/>
    <w:rsid w:val="00857A65"/>
    <w:rsid w:val="008607E7"/>
    <w:rsid w:val="008613ED"/>
    <w:rsid w:val="00861823"/>
    <w:rsid w:val="00863B93"/>
    <w:rsid w:val="008661A5"/>
    <w:rsid w:val="00867DBF"/>
    <w:rsid w:val="008705CC"/>
    <w:rsid w:val="00873911"/>
    <w:rsid w:val="00874557"/>
    <w:rsid w:val="00874897"/>
    <w:rsid w:val="008754A2"/>
    <w:rsid w:val="00876B06"/>
    <w:rsid w:val="00877326"/>
    <w:rsid w:val="00877F7E"/>
    <w:rsid w:val="00882480"/>
    <w:rsid w:val="00882807"/>
    <w:rsid w:val="00883FB6"/>
    <w:rsid w:val="00884C31"/>
    <w:rsid w:val="00884C53"/>
    <w:rsid w:val="00885E10"/>
    <w:rsid w:val="00887F93"/>
    <w:rsid w:val="00890DF8"/>
    <w:rsid w:val="008913D6"/>
    <w:rsid w:val="00892F37"/>
    <w:rsid w:val="00894E01"/>
    <w:rsid w:val="00896F7B"/>
    <w:rsid w:val="00897592"/>
    <w:rsid w:val="00897D7D"/>
    <w:rsid w:val="008A0D0D"/>
    <w:rsid w:val="008A4F83"/>
    <w:rsid w:val="008A6955"/>
    <w:rsid w:val="008A7426"/>
    <w:rsid w:val="008A7ABB"/>
    <w:rsid w:val="008B015C"/>
    <w:rsid w:val="008B2821"/>
    <w:rsid w:val="008B38F3"/>
    <w:rsid w:val="008B3C00"/>
    <w:rsid w:val="008B416A"/>
    <w:rsid w:val="008B4D05"/>
    <w:rsid w:val="008B4F00"/>
    <w:rsid w:val="008C30CE"/>
    <w:rsid w:val="008C4669"/>
    <w:rsid w:val="008C4C35"/>
    <w:rsid w:val="008C7060"/>
    <w:rsid w:val="008C75B4"/>
    <w:rsid w:val="008D1CA0"/>
    <w:rsid w:val="008D4478"/>
    <w:rsid w:val="008D4A9E"/>
    <w:rsid w:val="008D4BB5"/>
    <w:rsid w:val="008D4FA9"/>
    <w:rsid w:val="008E0A8C"/>
    <w:rsid w:val="008E0B3C"/>
    <w:rsid w:val="008E522A"/>
    <w:rsid w:val="008E7EAE"/>
    <w:rsid w:val="008F0EEF"/>
    <w:rsid w:val="0090099E"/>
    <w:rsid w:val="00901303"/>
    <w:rsid w:val="00903507"/>
    <w:rsid w:val="00905F4B"/>
    <w:rsid w:val="00905FBC"/>
    <w:rsid w:val="009060BD"/>
    <w:rsid w:val="0090672F"/>
    <w:rsid w:val="009071A2"/>
    <w:rsid w:val="00910516"/>
    <w:rsid w:val="0091197B"/>
    <w:rsid w:val="00914A84"/>
    <w:rsid w:val="00915F05"/>
    <w:rsid w:val="00917B7B"/>
    <w:rsid w:val="009203D4"/>
    <w:rsid w:val="00921244"/>
    <w:rsid w:val="009217F1"/>
    <w:rsid w:val="009238C7"/>
    <w:rsid w:val="00923FAC"/>
    <w:rsid w:val="0092425A"/>
    <w:rsid w:val="00926915"/>
    <w:rsid w:val="00926AEB"/>
    <w:rsid w:val="0093123D"/>
    <w:rsid w:val="009346A3"/>
    <w:rsid w:val="00937581"/>
    <w:rsid w:val="00942B87"/>
    <w:rsid w:val="00943DD5"/>
    <w:rsid w:val="0094412C"/>
    <w:rsid w:val="00944A9A"/>
    <w:rsid w:val="00944CF5"/>
    <w:rsid w:val="009520E7"/>
    <w:rsid w:val="00953CF1"/>
    <w:rsid w:val="009552D9"/>
    <w:rsid w:val="00955886"/>
    <w:rsid w:val="00955F4E"/>
    <w:rsid w:val="009603A1"/>
    <w:rsid w:val="0096047D"/>
    <w:rsid w:val="00962C23"/>
    <w:rsid w:val="009644D2"/>
    <w:rsid w:val="00966F3A"/>
    <w:rsid w:val="0096763D"/>
    <w:rsid w:val="00973998"/>
    <w:rsid w:val="00973B15"/>
    <w:rsid w:val="00973B49"/>
    <w:rsid w:val="00974F49"/>
    <w:rsid w:val="009777C2"/>
    <w:rsid w:val="00980478"/>
    <w:rsid w:val="00980DC8"/>
    <w:rsid w:val="0098140E"/>
    <w:rsid w:val="00982472"/>
    <w:rsid w:val="00983961"/>
    <w:rsid w:val="00986853"/>
    <w:rsid w:val="00990AFC"/>
    <w:rsid w:val="00990C30"/>
    <w:rsid w:val="0099152F"/>
    <w:rsid w:val="00991D3E"/>
    <w:rsid w:val="00992560"/>
    <w:rsid w:val="00993AA1"/>
    <w:rsid w:val="0099488C"/>
    <w:rsid w:val="00994D33"/>
    <w:rsid w:val="00994E60"/>
    <w:rsid w:val="009A2E3D"/>
    <w:rsid w:val="009A2F20"/>
    <w:rsid w:val="009A4D45"/>
    <w:rsid w:val="009A5330"/>
    <w:rsid w:val="009A5BB5"/>
    <w:rsid w:val="009B04C4"/>
    <w:rsid w:val="009B1980"/>
    <w:rsid w:val="009B2A41"/>
    <w:rsid w:val="009B3831"/>
    <w:rsid w:val="009B3AB9"/>
    <w:rsid w:val="009B5114"/>
    <w:rsid w:val="009B67EF"/>
    <w:rsid w:val="009B74DC"/>
    <w:rsid w:val="009B7F3E"/>
    <w:rsid w:val="009C0A95"/>
    <w:rsid w:val="009C20F4"/>
    <w:rsid w:val="009C5306"/>
    <w:rsid w:val="009C5CCE"/>
    <w:rsid w:val="009C678D"/>
    <w:rsid w:val="009D3B4A"/>
    <w:rsid w:val="009D3B75"/>
    <w:rsid w:val="009D663D"/>
    <w:rsid w:val="009E21A6"/>
    <w:rsid w:val="009E4DD7"/>
    <w:rsid w:val="009F11EE"/>
    <w:rsid w:val="009F3555"/>
    <w:rsid w:val="009F6D51"/>
    <w:rsid w:val="00A0036F"/>
    <w:rsid w:val="00A0192D"/>
    <w:rsid w:val="00A04B71"/>
    <w:rsid w:val="00A05034"/>
    <w:rsid w:val="00A101BC"/>
    <w:rsid w:val="00A1073A"/>
    <w:rsid w:val="00A10B25"/>
    <w:rsid w:val="00A10D02"/>
    <w:rsid w:val="00A11FCD"/>
    <w:rsid w:val="00A15654"/>
    <w:rsid w:val="00A15724"/>
    <w:rsid w:val="00A2040D"/>
    <w:rsid w:val="00A20CC0"/>
    <w:rsid w:val="00A221A9"/>
    <w:rsid w:val="00A244C3"/>
    <w:rsid w:val="00A250E0"/>
    <w:rsid w:val="00A310D2"/>
    <w:rsid w:val="00A316DD"/>
    <w:rsid w:val="00A345D5"/>
    <w:rsid w:val="00A3630A"/>
    <w:rsid w:val="00A36472"/>
    <w:rsid w:val="00A378FE"/>
    <w:rsid w:val="00A37CC3"/>
    <w:rsid w:val="00A41087"/>
    <w:rsid w:val="00A41B92"/>
    <w:rsid w:val="00A420CC"/>
    <w:rsid w:val="00A42F16"/>
    <w:rsid w:val="00A44E03"/>
    <w:rsid w:val="00A44EAB"/>
    <w:rsid w:val="00A46526"/>
    <w:rsid w:val="00A46E78"/>
    <w:rsid w:val="00A506F5"/>
    <w:rsid w:val="00A5212F"/>
    <w:rsid w:val="00A54533"/>
    <w:rsid w:val="00A55094"/>
    <w:rsid w:val="00A553BE"/>
    <w:rsid w:val="00A56881"/>
    <w:rsid w:val="00A617E5"/>
    <w:rsid w:val="00A621F8"/>
    <w:rsid w:val="00A627F8"/>
    <w:rsid w:val="00A63793"/>
    <w:rsid w:val="00A6636F"/>
    <w:rsid w:val="00A67B31"/>
    <w:rsid w:val="00A73ECD"/>
    <w:rsid w:val="00A76A55"/>
    <w:rsid w:val="00A76B2F"/>
    <w:rsid w:val="00A771A0"/>
    <w:rsid w:val="00A8187E"/>
    <w:rsid w:val="00A8284D"/>
    <w:rsid w:val="00A828CA"/>
    <w:rsid w:val="00A86461"/>
    <w:rsid w:val="00A9613D"/>
    <w:rsid w:val="00AA0D93"/>
    <w:rsid w:val="00AA1131"/>
    <w:rsid w:val="00AA127F"/>
    <w:rsid w:val="00AA37DE"/>
    <w:rsid w:val="00AB199F"/>
    <w:rsid w:val="00AB2ED4"/>
    <w:rsid w:val="00AB3918"/>
    <w:rsid w:val="00AB5C29"/>
    <w:rsid w:val="00AC069A"/>
    <w:rsid w:val="00AC19A9"/>
    <w:rsid w:val="00AC20A5"/>
    <w:rsid w:val="00AC22F6"/>
    <w:rsid w:val="00AC477E"/>
    <w:rsid w:val="00AC673E"/>
    <w:rsid w:val="00AD57C6"/>
    <w:rsid w:val="00AE15F1"/>
    <w:rsid w:val="00AE1EE9"/>
    <w:rsid w:val="00AE3421"/>
    <w:rsid w:val="00AE4492"/>
    <w:rsid w:val="00AE4531"/>
    <w:rsid w:val="00AE460E"/>
    <w:rsid w:val="00AF086D"/>
    <w:rsid w:val="00AF6C97"/>
    <w:rsid w:val="00AF774F"/>
    <w:rsid w:val="00B01A4C"/>
    <w:rsid w:val="00B0290A"/>
    <w:rsid w:val="00B03A52"/>
    <w:rsid w:val="00B0686D"/>
    <w:rsid w:val="00B06FF0"/>
    <w:rsid w:val="00B10BEF"/>
    <w:rsid w:val="00B10F5B"/>
    <w:rsid w:val="00B11358"/>
    <w:rsid w:val="00B1317A"/>
    <w:rsid w:val="00B14174"/>
    <w:rsid w:val="00B16C4B"/>
    <w:rsid w:val="00B26191"/>
    <w:rsid w:val="00B26D73"/>
    <w:rsid w:val="00B304C1"/>
    <w:rsid w:val="00B34193"/>
    <w:rsid w:val="00B34E01"/>
    <w:rsid w:val="00B35B83"/>
    <w:rsid w:val="00B35E1C"/>
    <w:rsid w:val="00B36C27"/>
    <w:rsid w:val="00B40A9B"/>
    <w:rsid w:val="00B4139C"/>
    <w:rsid w:val="00B41BF7"/>
    <w:rsid w:val="00B46301"/>
    <w:rsid w:val="00B50A53"/>
    <w:rsid w:val="00B50CBA"/>
    <w:rsid w:val="00B5179C"/>
    <w:rsid w:val="00B53455"/>
    <w:rsid w:val="00B541A1"/>
    <w:rsid w:val="00B54CEC"/>
    <w:rsid w:val="00B555AD"/>
    <w:rsid w:val="00B56F8F"/>
    <w:rsid w:val="00B6270F"/>
    <w:rsid w:val="00B65895"/>
    <w:rsid w:val="00B65DFD"/>
    <w:rsid w:val="00B705D5"/>
    <w:rsid w:val="00B708B5"/>
    <w:rsid w:val="00B72FBF"/>
    <w:rsid w:val="00B75BC5"/>
    <w:rsid w:val="00B770AB"/>
    <w:rsid w:val="00B83F28"/>
    <w:rsid w:val="00B8403E"/>
    <w:rsid w:val="00B84E19"/>
    <w:rsid w:val="00B87395"/>
    <w:rsid w:val="00B902C6"/>
    <w:rsid w:val="00B91CB0"/>
    <w:rsid w:val="00B9200D"/>
    <w:rsid w:val="00B9491D"/>
    <w:rsid w:val="00B97D19"/>
    <w:rsid w:val="00BA0FB0"/>
    <w:rsid w:val="00BA27D4"/>
    <w:rsid w:val="00BA32E3"/>
    <w:rsid w:val="00BA48D5"/>
    <w:rsid w:val="00BA6670"/>
    <w:rsid w:val="00BB1DFD"/>
    <w:rsid w:val="00BB2223"/>
    <w:rsid w:val="00BB441A"/>
    <w:rsid w:val="00BB5D14"/>
    <w:rsid w:val="00BC54BC"/>
    <w:rsid w:val="00BC6443"/>
    <w:rsid w:val="00BC6B71"/>
    <w:rsid w:val="00BD088F"/>
    <w:rsid w:val="00BD0F07"/>
    <w:rsid w:val="00BD2BCB"/>
    <w:rsid w:val="00BD6DCD"/>
    <w:rsid w:val="00BD7129"/>
    <w:rsid w:val="00BD769E"/>
    <w:rsid w:val="00BD7DD3"/>
    <w:rsid w:val="00BE09E6"/>
    <w:rsid w:val="00BE0B94"/>
    <w:rsid w:val="00BE2170"/>
    <w:rsid w:val="00BE2AF9"/>
    <w:rsid w:val="00BE5687"/>
    <w:rsid w:val="00BE5E9A"/>
    <w:rsid w:val="00BE5FF0"/>
    <w:rsid w:val="00BE68B9"/>
    <w:rsid w:val="00BE6C2E"/>
    <w:rsid w:val="00C020F8"/>
    <w:rsid w:val="00C034A2"/>
    <w:rsid w:val="00C03D70"/>
    <w:rsid w:val="00C03E81"/>
    <w:rsid w:val="00C07E3E"/>
    <w:rsid w:val="00C10100"/>
    <w:rsid w:val="00C11274"/>
    <w:rsid w:val="00C12DD4"/>
    <w:rsid w:val="00C12F5A"/>
    <w:rsid w:val="00C148F1"/>
    <w:rsid w:val="00C16D9C"/>
    <w:rsid w:val="00C20D26"/>
    <w:rsid w:val="00C20FB6"/>
    <w:rsid w:val="00C2173A"/>
    <w:rsid w:val="00C217DF"/>
    <w:rsid w:val="00C22B64"/>
    <w:rsid w:val="00C23C73"/>
    <w:rsid w:val="00C23D6B"/>
    <w:rsid w:val="00C258BA"/>
    <w:rsid w:val="00C25994"/>
    <w:rsid w:val="00C26B53"/>
    <w:rsid w:val="00C27415"/>
    <w:rsid w:val="00C3100D"/>
    <w:rsid w:val="00C313C3"/>
    <w:rsid w:val="00C31E9A"/>
    <w:rsid w:val="00C33049"/>
    <w:rsid w:val="00C33EFF"/>
    <w:rsid w:val="00C352FA"/>
    <w:rsid w:val="00C365D9"/>
    <w:rsid w:val="00C3700A"/>
    <w:rsid w:val="00C37CB9"/>
    <w:rsid w:val="00C4192B"/>
    <w:rsid w:val="00C422C1"/>
    <w:rsid w:val="00C42378"/>
    <w:rsid w:val="00C46A87"/>
    <w:rsid w:val="00C524EB"/>
    <w:rsid w:val="00C52C97"/>
    <w:rsid w:val="00C54543"/>
    <w:rsid w:val="00C56028"/>
    <w:rsid w:val="00C600B9"/>
    <w:rsid w:val="00C60A69"/>
    <w:rsid w:val="00C62296"/>
    <w:rsid w:val="00C62EAC"/>
    <w:rsid w:val="00C6473C"/>
    <w:rsid w:val="00C64AE4"/>
    <w:rsid w:val="00C65690"/>
    <w:rsid w:val="00C65902"/>
    <w:rsid w:val="00C66E3F"/>
    <w:rsid w:val="00C677AF"/>
    <w:rsid w:val="00C70007"/>
    <w:rsid w:val="00C70F89"/>
    <w:rsid w:val="00C73389"/>
    <w:rsid w:val="00C7584E"/>
    <w:rsid w:val="00C75F68"/>
    <w:rsid w:val="00C75FE6"/>
    <w:rsid w:val="00C805F9"/>
    <w:rsid w:val="00C80E6D"/>
    <w:rsid w:val="00C8197C"/>
    <w:rsid w:val="00C81D23"/>
    <w:rsid w:val="00C834AF"/>
    <w:rsid w:val="00C8524A"/>
    <w:rsid w:val="00C8599F"/>
    <w:rsid w:val="00C86093"/>
    <w:rsid w:val="00C8643C"/>
    <w:rsid w:val="00C87755"/>
    <w:rsid w:val="00C903CD"/>
    <w:rsid w:val="00C90566"/>
    <w:rsid w:val="00C92844"/>
    <w:rsid w:val="00C92E18"/>
    <w:rsid w:val="00C932D8"/>
    <w:rsid w:val="00C937F5"/>
    <w:rsid w:val="00C954D2"/>
    <w:rsid w:val="00C97D2A"/>
    <w:rsid w:val="00CA04CB"/>
    <w:rsid w:val="00CA6CFD"/>
    <w:rsid w:val="00CA74C4"/>
    <w:rsid w:val="00CA7787"/>
    <w:rsid w:val="00CA7DE8"/>
    <w:rsid w:val="00CB3A73"/>
    <w:rsid w:val="00CB538A"/>
    <w:rsid w:val="00CB63B2"/>
    <w:rsid w:val="00CB6D7B"/>
    <w:rsid w:val="00CB7588"/>
    <w:rsid w:val="00CB76E7"/>
    <w:rsid w:val="00CC00D5"/>
    <w:rsid w:val="00CC2020"/>
    <w:rsid w:val="00CC36B7"/>
    <w:rsid w:val="00CC5649"/>
    <w:rsid w:val="00CC72ED"/>
    <w:rsid w:val="00CC760F"/>
    <w:rsid w:val="00CD0878"/>
    <w:rsid w:val="00CD0A8D"/>
    <w:rsid w:val="00CD0BE4"/>
    <w:rsid w:val="00CD22AE"/>
    <w:rsid w:val="00CD6807"/>
    <w:rsid w:val="00CE0F97"/>
    <w:rsid w:val="00CE1E31"/>
    <w:rsid w:val="00CE37EE"/>
    <w:rsid w:val="00CE5700"/>
    <w:rsid w:val="00CF1C62"/>
    <w:rsid w:val="00CF317D"/>
    <w:rsid w:val="00CF3E67"/>
    <w:rsid w:val="00CF4013"/>
    <w:rsid w:val="00CF5645"/>
    <w:rsid w:val="00CF5F42"/>
    <w:rsid w:val="00D02D97"/>
    <w:rsid w:val="00D02EFF"/>
    <w:rsid w:val="00D03159"/>
    <w:rsid w:val="00D03928"/>
    <w:rsid w:val="00D0578C"/>
    <w:rsid w:val="00D05A93"/>
    <w:rsid w:val="00D05D75"/>
    <w:rsid w:val="00D06662"/>
    <w:rsid w:val="00D079DA"/>
    <w:rsid w:val="00D10F24"/>
    <w:rsid w:val="00D11F43"/>
    <w:rsid w:val="00D14242"/>
    <w:rsid w:val="00D14794"/>
    <w:rsid w:val="00D14B32"/>
    <w:rsid w:val="00D15EC5"/>
    <w:rsid w:val="00D16989"/>
    <w:rsid w:val="00D20A22"/>
    <w:rsid w:val="00D22F41"/>
    <w:rsid w:val="00D2354E"/>
    <w:rsid w:val="00D2357B"/>
    <w:rsid w:val="00D24173"/>
    <w:rsid w:val="00D2550F"/>
    <w:rsid w:val="00D2577A"/>
    <w:rsid w:val="00D2599D"/>
    <w:rsid w:val="00D26323"/>
    <w:rsid w:val="00D2662F"/>
    <w:rsid w:val="00D31A86"/>
    <w:rsid w:val="00D42CDB"/>
    <w:rsid w:val="00D44F4A"/>
    <w:rsid w:val="00D45C0C"/>
    <w:rsid w:val="00D508E9"/>
    <w:rsid w:val="00D511F8"/>
    <w:rsid w:val="00D5139E"/>
    <w:rsid w:val="00D54529"/>
    <w:rsid w:val="00D54554"/>
    <w:rsid w:val="00D54BEE"/>
    <w:rsid w:val="00D57B71"/>
    <w:rsid w:val="00D620C7"/>
    <w:rsid w:val="00D63FE3"/>
    <w:rsid w:val="00D66BB4"/>
    <w:rsid w:val="00D71466"/>
    <w:rsid w:val="00D719F6"/>
    <w:rsid w:val="00D73291"/>
    <w:rsid w:val="00D74F41"/>
    <w:rsid w:val="00D75C30"/>
    <w:rsid w:val="00D80E33"/>
    <w:rsid w:val="00D83723"/>
    <w:rsid w:val="00D83FC6"/>
    <w:rsid w:val="00D855E4"/>
    <w:rsid w:val="00D85BB1"/>
    <w:rsid w:val="00D87157"/>
    <w:rsid w:val="00D8754E"/>
    <w:rsid w:val="00D878F9"/>
    <w:rsid w:val="00D912F0"/>
    <w:rsid w:val="00D9552D"/>
    <w:rsid w:val="00D95BD4"/>
    <w:rsid w:val="00D972BF"/>
    <w:rsid w:val="00D97A58"/>
    <w:rsid w:val="00DA0A40"/>
    <w:rsid w:val="00DA18E6"/>
    <w:rsid w:val="00DA39FC"/>
    <w:rsid w:val="00DA446D"/>
    <w:rsid w:val="00DA7F24"/>
    <w:rsid w:val="00DB0461"/>
    <w:rsid w:val="00DB1CDE"/>
    <w:rsid w:val="00DB2455"/>
    <w:rsid w:val="00DB3714"/>
    <w:rsid w:val="00DB3CA0"/>
    <w:rsid w:val="00DB4866"/>
    <w:rsid w:val="00DB5B05"/>
    <w:rsid w:val="00DB76A1"/>
    <w:rsid w:val="00DC29AC"/>
    <w:rsid w:val="00DC2AE9"/>
    <w:rsid w:val="00DC50C2"/>
    <w:rsid w:val="00DC647F"/>
    <w:rsid w:val="00DD1163"/>
    <w:rsid w:val="00DD2F8E"/>
    <w:rsid w:val="00DD3ECD"/>
    <w:rsid w:val="00DD46EF"/>
    <w:rsid w:val="00DD55BB"/>
    <w:rsid w:val="00DD56AC"/>
    <w:rsid w:val="00DE103D"/>
    <w:rsid w:val="00DE20B8"/>
    <w:rsid w:val="00DE21F1"/>
    <w:rsid w:val="00DE31FE"/>
    <w:rsid w:val="00DE3843"/>
    <w:rsid w:val="00DE3E04"/>
    <w:rsid w:val="00DE6691"/>
    <w:rsid w:val="00DE7E91"/>
    <w:rsid w:val="00DF03F9"/>
    <w:rsid w:val="00DF0977"/>
    <w:rsid w:val="00DF0FCB"/>
    <w:rsid w:val="00DF2E7F"/>
    <w:rsid w:val="00DF493E"/>
    <w:rsid w:val="00DF63BA"/>
    <w:rsid w:val="00DF7010"/>
    <w:rsid w:val="00DF7BC0"/>
    <w:rsid w:val="00E0324B"/>
    <w:rsid w:val="00E10413"/>
    <w:rsid w:val="00E11018"/>
    <w:rsid w:val="00E110C2"/>
    <w:rsid w:val="00E12A22"/>
    <w:rsid w:val="00E1601E"/>
    <w:rsid w:val="00E22F97"/>
    <w:rsid w:val="00E23282"/>
    <w:rsid w:val="00E235C4"/>
    <w:rsid w:val="00E25633"/>
    <w:rsid w:val="00E263D0"/>
    <w:rsid w:val="00E275DC"/>
    <w:rsid w:val="00E31A12"/>
    <w:rsid w:val="00E33200"/>
    <w:rsid w:val="00E336D3"/>
    <w:rsid w:val="00E337C1"/>
    <w:rsid w:val="00E3429C"/>
    <w:rsid w:val="00E40318"/>
    <w:rsid w:val="00E40FB8"/>
    <w:rsid w:val="00E42898"/>
    <w:rsid w:val="00E45C28"/>
    <w:rsid w:val="00E45E3B"/>
    <w:rsid w:val="00E4772A"/>
    <w:rsid w:val="00E52314"/>
    <w:rsid w:val="00E540B4"/>
    <w:rsid w:val="00E55746"/>
    <w:rsid w:val="00E557C0"/>
    <w:rsid w:val="00E56BC9"/>
    <w:rsid w:val="00E60F0A"/>
    <w:rsid w:val="00E62CBF"/>
    <w:rsid w:val="00E64C73"/>
    <w:rsid w:val="00E65948"/>
    <w:rsid w:val="00E66B24"/>
    <w:rsid w:val="00E67199"/>
    <w:rsid w:val="00E67247"/>
    <w:rsid w:val="00E70592"/>
    <w:rsid w:val="00E70D9E"/>
    <w:rsid w:val="00E7290A"/>
    <w:rsid w:val="00E76BE5"/>
    <w:rsid w:val="00E8037D"/>
    <w:rsid w:val="00E8162C"/>
    <w:rsid w:val="00E81E95"/>
    <w:rsid w:val="00E91E59"/>
    <w:rsid w:val="00E92C5E"/>
    <w:rsid w:val="00E92FB5"/>
    <w:rsid w:val="00E946DA"/>
    <w:rsid w:val="00E97FC0"/>
    <w:rsid w:val="00EA0618"/>
    <w:rsid w:val="00EA0FC5"/>
    <w:rsid w:val="00EA52B5"/>
    <w:rsid w:val="00EA5B65"/>
    <w:rsid w:val="00EA73F0"/>
    <w:rsid w:val="00EB3010"/>
    <w:rsid w:val="00EB306C"/>
    <w:rsid w:val="00EB3F83"/>
    <w:rsid w:val="00EB5243"/>
    <w:rsid w:val="00EB7A0D"/>
    <w:rsid w:val="00EC0A73"/>
    <w:rsid w:val="00EC2AC1"/>
    <w:rsid w:val="00EC3C5A"/>
    <w:rsid w:val="00EC4D79"/>
    <w:rsid w:val="00EC740C"/>
    <w:rsid w:val="00ED004A"/>
    <w:rsid w:val="00ED582B"/>
    <w:rsid w:val="00ED7286"/>
    <w:rsid w:val="00ED749A"/>
    <w:rsid w:val="00EE1343"/>
    <w:rsid w:val="00EE2833"/>
    <w:rsid w:val="00EE74DE"/>
    <w:rsid w:val="00EF420C"/>
    <w:rsid w:val="00EF431F"/>
    <w:rsid w:val="00EF4584"/>
    <w:rsid w:val="00EF5F15"/>
    <w:rsid w:val="00EF6522"/>
    <w:rsid w:val="00EF762C"/>
    <w:rsid w:val="00F0302B"/>
    <w:rsid w:val="00F034C6"/>
    <w:rsid w:val="00F05709"/>
    <w:rsid w:val="00F0778B"/>
    <w:rsid w:val="00F116F1"/>
    <w:rsid w:val="00F15D36"/>
    <w:rsid w:val="00F16C39"/>
    <w:rsid w:val="00F16C3D"/>
    <w:rsid w:val="00F20B3D"/>
    <w:rsid w:val="00F226CE"/>
    <w:rsid w:val="00F23A69"/>
    <w:rsid w:val="00F247A4"/>
    <w:rsid w:val="00F30D43"/>
    <w:rsid w:val="00F317C8"/>
    <w:rsid w:val="00F31805"/>
    <w:rsid w:val="00F339BE"/>
    <w:rsid w:val="00F367DB"/>
    <w:rsid w:val="00F379A0"/>
    <w:rsid w:val="00F41D33"/>
    <w:rsid w:val="00F4395C"/>
    <w:rsid w:val="00F45C9D"/>
    <w:rsid w:val="00F477EF"/>
    <w:rsid w:val="00F513CB"/>
    <w:rsid w:val="00F53C4F"/>
    <w:rsid w:val="00F5573F"/>
    <w:rsid w:val="00F559E3"/>
    <w:rsid w:val="00F55CAF"/>
    <w:rsid w:val="00F56EA6"/>
    <w:rsid w:val="00F573D1"/>
    <w:rsid w:val="00F60A60"/>
    <w:rsid w:val="00F71CA6"/>
    <w:rsid w:val="00F7305C"/>
    <w:rsid w:val="00F73DEA"/>
    <w:rsid w:val="00F7498F"/>
    <w:rsid w:val="00F749BD"/>
    <w:rsid w:val="00F7581D"/>
    <w:rsid w:val="00F77A7C"/>
    <w:rsid w:val="00F77D11"/>
    <w:rsid w:val="00F825D2"/>
    <w:rsid w:val="00F84166"/>
    <w:rsid w:val="00F8691C"/>
    <w:rsid w:val="00F95B1C"/>
    <w:rsid w:val="00F97047"/>
    <w:rsid w:val="00FA0A4B"/>
    <w:rsid w:val="00FA424C"/>
    <w:rsid w:val="00FA6607"/>
    <w:rsid w:val="00FA67DB"/>
    <w:rsid w:val="00FB064E"/>
    <w:rsid w:val="00FB19EF"/>
    <w:rsid w:val="00FB27E9"/>
    <w:rsid w:val="00FB4210"/>
    <w:rsid w:val="00FB4455"/>
    <w:rsid w:val="00FB6EC2"/>
    <w:rsid w:val="00FB792D"/>
    <w:rsid w:val="00FC0C8A"/>
    <w:rsid w:val="00FC5270"/>
    <w:rsid w:val="00FC5C60"/>
    <w:rsid w:val="00FC6507"/>
    <w:rsid w:val="00FC6E4B"/>
    <w:rsid w:val="00FD00CA"/>
    <w:rsid w:val="00FD0B0A"/>
    <w:rsid w:val="00FD2918"/>
    <w:rsid w:val="00FD3B5D"/>
    <w:rsid w:val="00FD3B6B"/>
    <w:rsid w:val="00FD6243"/>
    <w:rsid w:val="00FE0B23"/>
    <w:rsid w:val="00FE4031"/>
    <w:rsid w:val="00FE7D4E"/>
    <w:rsid w:val="00FF1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3CA0"/>
    <w:rPr>
      <w:color w:val="0000FF"/>
      <w:u w:val="single"/>
    </w:rPr>
  </w:style>
  <w:style w:type="paragraph" w:styleId="BalloonText">
    <w:name w:val="Balloon Text"/>
    <w:basedOn w:val="Normal"/>
    <w:link w:val="BalloonTextChar"/>
    <w:uiPriority w:val="99"/>
    <w:semiHidden/>
    <w:unhideWhenUsed/>
    <w:rsid w:val="00DB3C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CA0"/>
    <w:rPr>
      <w:rFonts w:ascii="Segoe UI" w:hAnsi="Segoe UI" w:cs="Segoe UI"/>
      <w:sz w:val="18"/>
      <w:szCs w:val="18"/>
    </w:rPr>
  </w:style>
  <w:style w:type="paragraph" w:styleId="ListParagraph">
    <w:name w:val="List Paragraph"/>
    <w:basedOn w:val="Normal"/>
    <w:uiPriority w:val="34"/>
    <w:qFormat/>
    <w:rsid w:val="00537A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CA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3CA0"/>
    <w:rPr>
      <w:color w:val="0000FF"/>
      <w:u w:val="single"/>
    </w:rPr>
  </w:style>
  <w:style w:type="paragraph" w:styleId="BalloonText">
    <w:name w:val="Balloon Text"/>
    <w:basedOn w:val="Normal"/>
    <w:link w:val="BalloonTextChar"/>
    <w:uiPriority w:val="99"/>
    <w:semiHidden/>
    <w:unhideWhenUsed/>
    <w:rsid w:val="00DB3C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CA0"/>
    <w:rPr>
      <w:rFonts w:ascii="Segoe UI" w:hAnsi="Segoe UI" w:cs="Segoe UI"/>
      <w:sz w:val="18"/>
      <w:szCs w:val="18"/>
    </w:rPr>
  </w:style>
  <w:style w:type="paragraph" w:styleId="ListParagraph">
    <w:name w:val="List Paragraph"/>
    <w:basedOn w:val="Normal"/>
    <w:uiPriority w:val="34"/>
    <w:qFormat/>
    <w:rsid w:val="00537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09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8.jpg@01D0572C.2327E8E0" TargetMode="External"/><Relationship Id="rId18" Type="http://schemas.openxmlformats.org/officeDocument/2006/relationships/image" Target="media/image7.jpeg"/><Relationship Id="rId26" Type="http://schemas.openxmlformats.org/officeDocument/2006/relationships/hyperlink" Target="mailto:kmzinjana@itac.org.za" TargetMode="External"/><Relationship Id="rId39" Type="http://schemas.openxmlformats.org/officeDocument/2006/relationships/hyperlink" Target="http://twitter.com/LexisNexisZA" TargetMode="External"/><Relationship Id="rId3" Type="http://schemas.microsoft.com/office/2007/relationships/stylesWithEffects" Target="stylesWithEffects.xml"/><Relationship Id="rId21" Type="http://schemas.openxmlformats.org/officeDocument/2006/relationships/image" Target="cid:image012.jpg@01D0572C.2327E8E0" TargetMode="External"/><Relationship Id="rId34" Type="http://schemas.openxmlformats.org/officeDocument/2006/relationships/image" Target="media/image11.jpeg"/><Relationship Id="rId42" Type="http://schemas.openxmlformats.org/officeDocument/2006/relationships/hyperlink" Target="http://www.lexisnexis.co.za/practicalguidance/?utm_source=EmailSignature&amp;utm_medium=Email&amp;utm_campaign=PGS001" TargetMode="External"/><Relationship Id="rId47" Type="http://schemas.microsoft.com/office/2011/relationships/people" Target="people.xml"/><Relationship Id="rId7" Type="http://schemas.openxmlformats.org/officeDocument/2006/relationships/image" Target="cid:image005.jpg@01D0572C.2327E8E0" TargetMode="External"/><Relationship Id="rId12" Type="http://schemas.openxmlformats.org/officeDocument/2006/relationships/image" Target="media/image4.jpeg"/><Relationship Id="rId17" Type="http://schemas.openxmlformats.org/officeDocument/2006/relationships/image" Target="cid:image010.jpg@01D0572C.2327E8E0" TargetMode="External"/><Relationship Id="rId25" Type="http://schemas.openxmlformats.org/officeDocument/2006/relationships/hyperlink" Target="http://www.itac.org.za/" TargetMode="External"/><Relationship Id="rId33" Type="http://schemas.openxmlformats.org/officeDocument/2006/relationships/hyperlink" Target="https://www.facebook.com/LexisNexisSA" TargetMode="External"/><Relationship Id="rId38" Type="http://schemas.openxmlformats.org/officeDocument/2006/relationships/image" Target="cid:image002.jpg@01CF5EDF.361F429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new.jacobsens.co.za/News/CustomsWatch.aspx" TargetMode="External"/><Relationship Id="rId41" Type="http://schemas.openxmlformats.org/officeDocument/2006/relationships/image" Target="cid:image003.jpg@01CF5EDF.361F429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cid:image007.jpg@01D0572C.2327E8E0" TargetMode="External"/><Relationship Id="rId24" Type="http://schemas.openxmlformats.org/officeDocument/2006/relationships/hyperlink" Target="http://www.sars.gov.za/AllDocs/LegalDoclib/Drafts/LAPD-LPrep-Draft-2014-90%20-%20Draft%20Customs%20Control%20Rules%20Fourth%20Batch%20Chapters%2032%20to%2041.pdf" TargetMode="External"/><Relationship Id="rId32" Type="http://schemas.openxmlformats.org/officeDocument/2006/relationships/hyperlink" Target="mailto:ashleka.kanjan@lexis.nexis.co.za" TargetMode="External"/><Relationship Id="rId37" Type="http://schemas.openxmlformats.org/officeDocument/2006/relationships/image" Target="media/image12.jpeg"/><Relationship Id="rId40" Type="http://schemas.openxmlformats.org/officeDocument/2006/relationships/image" Target="media/image13.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9.jpg@01D0572C.2327E8E0" TargetMode="External"/><Relationship Id="rId23" Type="http://schemas.openxmlformats.org/officeDocument/2006/relationships/image" Target="cid:image013.jpg@01D0572C.2327E8E0" TargetMode="External"/><Relationship Id="rId28" Type="http://schemas.openxmlformats.org/officeDocument/2006/relationships/hyperlink" Target="http://new.jacobsens.co.za/News/CustomsWatch.aspx" TargetMode="External"/><Relationship Id="rId36" Type="http://schemas.openxmlformats.org/officeDocument/2006/relationships/hyperlink" Target="http://www.linkedin.com/company/2711399" TargetMode="External"/><Relationship Id="rId10" Type="http://schemas.openxmlformats.org/officeDocument/2006/relationships/image" Target="media/image3.jpeg"/><Relationship Id="rId19" Type="http://schemas.openxmlformats.org/officeDocument/2006/relationships/image" Target="cid:image011.jpg@01D0572C.2327E8E0" TargetMode="External"/><Relationship Id="rId31" Type="http://schemas.openxmlformats.org/officeDocument/2006/relationships/image" Target="cid:image014.png@01D0572C.2327E8E0" TargetMode="External"/><Relationship Id="rId44" Type="http://schemas.openxmlformats.org/officeDocument/2006/relationships/image" Target="cid:image004.gif@01CF5EDF.361F4290" TargetMode="External"/><Relationship Id="rId4" Type="http://schemas.openxmlformats.org/officeDocument/2006/relationships/settings" Target="settings.xml"/><Relationship Id="rId9" Type="http://schemas.openxmlformats.org/officeDocument/2006/relationships/image" Target="cid:image006.jpg@01D0572C.2327E8E0"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mailto:avarachia@itac.org.za" TargetMode="External"/><Relationship Id="rId30" Type="http://schemas.openxmlformats.org/officeDocument/2006/relationships/image" Target="media/image10.png"/><Relationship Id="rId35" Type="http://schemas.openxmlformats.org/officeDocument/2006/relationships/image" Target="cid:image001.jpg@01CF5EDF.361F4290" TargetMode="External"/><Relationship Id="rId43"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2471</Words>
  <Characters>14087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Marais</dc:creator>
  <cp:keywords/>
  <dc:description/>
  <cp:lastModifiedBy>Govender, Mayuri (LNG-DUR)</cp:lastModifiedBy>
  <cp:revision>5</cp:revision>
  <dcterms:created xsi:type="dcterms:W3CDTF">2015-03-18T12:30:00Z</dcterms:created>
  <dcterms:modified xsi:type="dcterms:W3CDTF">2015-03-20T10:11:00Z</dcterms:modified>
</cp:coreProperties>
</file>